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A7E4" w14:textId="5E4C9C6B" w:rsidR="0029330C" w:rsidRPr="0029330C" w:rsidRDefault="0029330C" w:rsidP="0029330C">
      <w:pPr>
        <w:rPr>
          <w:bCs/>
        </w:rPr>
      </w:pPr>
      <w:r w:rsidRPr="0029330C">
        <w:rPr>
          <w:bCs/>
        </w:rPr>
        <w:t>Rīgā, 202</w:t>
      </w:r>
      <w:r w:rsidR="00F31319">
        <w:rPr>
          <w:bCs/>
        </w:rPr>
        <w:t>2</w:t>
      </w:r>
      <w:r w:rsidRPr="0029330C">
        <w:rPr>
          <w:bCs/>
        </w:rPr>
        <w:t>.</w:t>
      </w:r>
      <w:r w:rsidR="00B56E98">
        <w:rPr>
          <w:bCs/>
        </w:rPr>
        <w:t xml:space="preserve"> gada 4. jūlijā</w:t>
      </w:r>
    </w:p>
    <w:p w14:paraId="703157CC" w14:textId="77777777" w:rsidR="0029330C" w:rsidRDefault="0029330C" w:rsidP="0029330C">
      <w:pPr>
        <w:rPr>
          <w:b/>
          <w:sz w:val="28"/>
          <w:szCs w:val="28"/>
        </w:rPr>
      </w:pPr>
    </w:p>
    <w:p w14:paraId="6762D3D6" w14:textId="7EE02D54" w:rsidR="002A305D" w:rsidRPr="00AC399F" w:rsidRDefault="001E2E2A" w:rsidP="002A305D">
      <w:pPr>
        <w:shd w:val="clear" w:color="auto" w:fill="FFFFFF"/>
        <w:jc w:val="both"/>
        <w:rPr>
          <w:sz w:val="28"/>
          <w:szCs w:val="28"/>
        </w:rPr>
      </w:pPr>
      <w:r>
        <w:rPr>
          <w:b/>
          <w:sz w:val="28"/>
          <w:szCs w:val="28"/>
        </w:rPr>
        <w:t>PAZIŅOJUMS</w:t>
      </w:r>
      <w:r w:rsidR="00326358">
        <w:rPr>
          <w:b/>
          <w:sz w:val="28"/>
          <w:szCs w:val="28"/>
        </w:rPr>
        <w:t xml:space="preserve"> </w:t>
      </w:r>
      <w:r w:rsidR="002A305D" w:rsidRPr="002A305D">
        <w:rPr>
          <w:b/>
          <w:bCs/>
          <w:caps/>
          <w:sz w:val="28"/>
          <w:szCs w:val="28"/>
        </w:rPr>
        <w:t>Par pamatnostādņu</w:t>
      </w:r>
      <w:bookmarkStart w:id="0" w:name="_Hlk76381956"/>
      <w:r w:rsidR="002A305D">
        <w:rPr>
          <w:b/>
          <w:bCs/>
          <w:caps/>
          <w:sz w:val="28"/>
          <w:szCs w:val="28"/>
        </w:rPr>
        <w:t xml:space="preserve"> </w:t>
      </w:r>
      <w:bookmarkEnd w:id="0"/>
      <w:r w:rsidR="002A305D" w:rsidRPr="002A305D">
        <w:rPr>
          <w:b/>
          <w:bCs/>
          <w:caps/>
          <w:sz w:val="28"/>
          <w:szCs w:val="28"/>
        </w:rPr>
        <w:t>piemērošanu</w:t>
      </w:r>
    </w:p>
    <w:p w14:paraId="2CC96403" w14:textId="3A32D090" w:rsidR="001E2E2A" w:rsidRDefault="001E2E2A" w:rsidP="002A305D">
      <w:pPr>
        <w:pStyle w:val="Pamatteksts"/>
        <w:tabs>
          <w:tab w:val="left" w:pos="284"/>
        </w:tabs>
        <w:jc w:val="both"/>
        <w:rPr>
          <w:b/>
          <w:sz w:val="28"/>
          <w:szCs w:val="28"/>
        </w:rPr>
      </w:pPr>
    </w:p>
    <w:tbl>
      <w:tblPr>
        <w:tblStyle w:val="Reatabula"/>
        <w:tblW w:w="0" w:type="auto"/>
        <w:tblLayout w:type="fixed"/>
        <w:tblLook w:val="04A0" w:firstRow="1" w:lastRow="0" w:firstColumn="1" w:lastColumn="0" w:noHBand="0" w:noVBand="1"/>
      </w:tblPr>
      <w:tblGrid>
        <w:gridCol w:w="421"/>
        <w:gridCol w:w="8929"/>
      </w:tblGrid>
      <w:tr w:rsidR="00445CC1" w:rsidRPr="00A94E50" w14:paraId="63615372" w14:textId="77777777" w:rsidTr="00BA4ADE">
        <w:tc>
          <w:tcPr>
            <w:tcW w:w="421" w:type="dxa"/>
          </w:tcPr>
          <w:p w14:paraId="450EA114" w14:textId="77777777" w:rsidR="00445CC1" w:rsidRPr="00BF558F" w:rsidRDefault="00445CC1" w:rsidP="00445CC1">
            <w:pPr>
              <w:jc w:val="center"/>
            </w:pPr>
            <w:r>
              <w:t>1</w:t>
            </w:r>
            <w:r w:rsidRPr="00BF558F">
              <w:t>.</w:t>
            </w:r>
          </w:p>
        </w:tc>
        <w:tc>
          <w:tcPr>
            <w:tcW w:w="8929" w:type="dxa"/>
          </w:tcPr>
          <w:p w14:paraId="5D465BDF" w14:textId="77777777" w:rsidR="00445CC1" w:rsidRPr="00D451AA" w:rsidRDefault="00445CC1" w:rsidP="00F92267">
            <w:pPr>
              <w:keepNext/>
              <w:keepLines/>
              <w:jc w:val="both"/>
              <w:rPr>
                <w:b/>
              </w:rPr>
            </w:pPr>
            <w:r w:rsidRPr="00D451AA">
              <w:rPr>
                <w:b/>
              </w:rPr>
              <w:t>Pamatnostādņu adresāti</w:t>
            </w:r>
          </w:p>
          <w:p w14:paraId="6F3F7185" w14:textId="77777777" w:rsidR="00445CC1" w:rsidRPr="00BF558F" w:rsidRDefault="00445CC1" w:rsidP="00F92267">
            <w:pPr>
              <w:keepNext/>
              <w:keepLines/>
              <w:jc w:val="both"/>
            </w:pPr>
          </w:p>
          <w:p w14:paraId="6FF2F0A7" w14:textId="10B8FAE9" w:rsidR="00734C6B" w:rsidRDefault="0088260F" w:rsidP="00B97A18">
            <w:pPr>
              <w:pStyle w:val="Default"/>
              <w:keepNext/>
              <w:keepLines/>
              <w:spacing w:after="240"/>
              <w:jc w:val="both"/>
            </w:pPr>
            <w:r w:rsidRPr="0088260F">
              <w:t xml:space="preserve">Eiropas Vērtspapīru un tirgu iestādes </w:t>
            </w:r>
            <w:r w:rsidR="00B97A18">
              <w:t xml:space="preserve">pamatnostādnes Nr. </w:t>
            </w:r>
            <w:r w:rsidR="00860531" w:rsidRPr="00860531">
              <w:t>ESMA 34-49-446</w:t>
            </w:r>
            <w:r w:rsidR="00671F38">
              <w:t xml:space="preserve"> </w:t>
            </w:r>
            <w:r w:rsidR="00B97A18">
              <w:t>"</w:t>
            </w:r>
            <w:bookmarkStart w:id="1" w:name="_Hlk107563656"/>
            <w:r w:rsidRPr="0088260F">
              <w:t xml:space="preserve">Pamatnostādnes </w:t>
            </w:r>
            <w:r w:rsidR="00671F38" w:rsidRPr="00671F38">
              <w:t>par stresa testa scenārijiem saskaņā ar NTF regulu</w:t>
            </w:r>
            <w:bookmarkEnd w:id="1"/>
            <w:r w:rsidR="00B97A18">
              <w:t xml:space="preserve">" (turpmāk – </w:t>
            </w:r>
            <w:r w:rsidR="00B56E98">
              <w:t>P</w:t>
            </w:r>
            <w:r w:rsidR="00B97A18">
              <w:t>amatnostādnes)</w:t>
            </w:r>
            <w:r w:rsidR="00F31319" w:rsidRPr="00F31319">
              <w:rPr>
                <w:rFonts w:ascii="Tms Rmn" w:eastAsiaTheme="minorHAnsi" w:hAnsi="Tms Rmn" w:cstheme="minorBidi"/>
                <w:color w:val="auto"/>
                <w:lang w:eastAsia="en-US"/>
              </w:rPr>
              <w:t xml:space="preserve"> </w:t>
            </w:r>
            <w:bookmarkStart w:id="2" w:name="_Hlk107564221"/>
            <w:r w:rsidR="00F95DED">
              <w:fldChar w:fldCharType="begin"/>
            </w:r>
            <w:r w:rsidR="00F95DED">
              <w:instrText>HYPERLINK "https://www.esma.europa.eu/document/guidelines-stress-test-scenarios-under-mmf-regulation-2021-update"</w:instrText>
            </w:r>
            <w:r w:rsidR="00F95DED">
              <w:fldChar w:fldCharType="separate"/>
            </w:r>
            <w:r w:rsidR="00F31319" w:rsidRPr="00F31319">
              <w:rPr>
                <w:rStyle w:val="Hipersaite"/>
              </w:rPr>
              <w:t>Guidelines on stress test scenarios under the MMF Regulation - 2021 update (europa.eu)</w:t>
            </w:r>
            <w:r w:rsidR="00F95DED">
              <w:rPr>
                <w:rStyle w:val="Hipersaite"/>
              </w:rPr>
              <w:fldChar w:fldCharType="end"/>
            </w:r>
            <w:bookmarkEnd w:id="2"/>
            <w:r w:rsidR="00671F38">
              <w:t xml:space="preserve"> </w:t>
            </w:r>
            <w:r w:rsidR="00B97A18">
              <w:t xml:space="preserve">attiecas </w:t>
            </w:r>
            <w:r w:rsidR="00671F38" w:rsidRPr="00671F38">
              <w:t xml:space="preserve">uz </w:t>
            </w:r>
            <w:r w:rsidR="00EB2D95" w:rsidRPr="00671F38">
              <w:t>Eiropas Parlamenta un Padomes 2017. gada 14. jūnija Regul</w:t>
            </w:r>
            <w:r w:rsidR="00EB2D95">
              <w:t>as</w:t>
            </w:r>
            <w:r w:rsidR="00EB2D95" w:rsidRPr="00671F38">
              <w:t xml:space="preserve"> (ES) 2017/1131 par naudas tirgus fondiem (tālāk tekstā – Regula) </w:t>
            </w:r>
            <w:r w:rsidR="00EB2D95">
              <w:t xml:space="preserve">1.pantā minētajiem </w:t>
            </w:r>
            <w:r w:rsidR="00671F38" w:rsidRPr="00671F38">
              <w:t>naudas tirgus fondiem (</w:t>
            </w:r>
            <w:bookmarkStart w:id="3" w:name="_Hlk76382579"/>
            <w:r w:rsidR="00671F38" w:rsidRPr="00671F38">
              <w:t xml:space="preserve">tālāk tekstā </w:t>
            </w:r>
            <w:bookmarkEnd w:id="3"/>
            <w:r w:rsidR="00671F38" w:rsidRPr="00671F38">
              <w:t xml:space="preserve">– NTF) un </w:t>
            </w:r>
            <w:r w:rsidR="00EB2D95" w:rsidRPr="00EB2D95">
              <w:t xml:space="preserve">Regulas 2.panta 23.punktā </w:t>
            </w:r>
            <w:r w:rsidR="00EB2D95">
              <w:t xml:space="preserve">definētajiem </w:t>
            </w:r>
            <w:r w:rsidR="00671F38" w:rsidRPr="00671F38">
              <w:t>NTF pārvaldniekiem un to kompetentajām iestādēm (Latvijā – Finanšu un kapitāla tirgus komisija)</w:t>
            </w:r>
            <w:r>
              <w:t>.</w:t>
            </w:r>
          </w:p>
          <w:p w14:paraId="6AABFEF8" w14:textId="77777777" w:rsidR="00DD539D" w:rsidRPr="00DD539D" w:rsidRDefault="00DD539D" w:rsidP="00EB2D95">
            <w:pPr>
              <w:pStyle w:val="Default"/>
              <w:keepNext/>
              <w:keepLines/>
              <w:jc w:val="both"/>
            </w:pPr>
          </w:p>
        </w:tc>
      </w:tr>
      <w:tr w:rsidR="001E2E2A" w:rsidRPr="00A94E50" w14:paraId="58DBC433" w14:textId="77777777" w:rsidTr="00BA4ADE">
        <w:trPr>
          <w:trHeight w:val="812"/>
        </w:trPr>
        <w:tc>
          <w:tcPr>
            <w:tcW w:w="421" w:type="dxa"/>
          </w:tcPr>
          <w:p w14:paraId="27CB3713" w14:textId="77777777" w:rsidR="001E2E2A" w:rsidRPr="009604BC" w:rsidRDefault="00445CC1" w:rsidP="00F92267">
            <w:pPr>
              <w:jc w:val="center"/>
            </w:pPr>
            <w:r>
              <w:t>2</w:t>
            </w:r>
            <w:r w:rsidR="001E2E2A" w:rsidRPr="009604BC">
              <w:t>.</w:t>
            </w:r>
          </w:p>
        </w:tc>
        <w:tc>
          <w:tcPr>
            <w:tcW w:w="8929" w:type="dxa"/>
          </w:tcPr>
          <w:p w14:paraId="3A0C94A4" w14:textId="3F61814D" w:rsidR="001E2E2A" w:rsidRDefault="00406A93" w:rsidP="00F92267">
            <w:pPr>
              <w:rPr>
                <w:b/>
              </w:rPr>
            </w:pPr>
            <w:r>
              <w:rPr>
                <w:b/>
              </w:rPr>
              <w:t>Tiesību aktu</w:t>
            </w:r>
            <w:r w:rsidR="001A3C5A">
              <w:rPr>
                <w:b/>
              </w:rPr>
              <w:t xml:space="preserve"> </w:t>
            </w:r>
            <w:r w:rsidR="001E2E2A" w:rsidRPr="001E2E2A">
              <w:rPr>
                <w:b/>
              </w:rPr>
              <w:t>prasība</w:t>
            </w:r>
            <w:r>
              <w:rPr>
                <w:b/>
              </w:rPr>
              <w:t>s</w:t>
            </w:r>
            <w:r w:rsidR="001E2E2A" w:rsidRPr="001E2E2A">
              <w:rPr>
                <w:b/>
              </w:rPr>
              <w:t>, kur</w:t>
            </w:r>
            <w:r>
              <w:rPr>
                <w:b/>
              </w:rPr>
              <w:t>u</w:t>
            </w:r>
            <w:r w:rsidR="001E2E2A" w:rsidRPr="001E2E2A">
              <w:rPr>
                <w:b/>
              </w:rPr>
              <w:t xml:space="preserve"> izpildei ir jāievēro </w:t>
            </w:r>
            <w:r w:rsidR="00B56E98">
              <w:rPr>
                <w:b/>
              </w:rPr>
              <w:t>P</w:t>
            </w:r>
            <w:r w:rsidR="001E2E2A" w:rsidRPr="001E2E2A">
              <w:rPr>
                <w:b/>
              </w:rPr>
              <w:t>amatnostādnes</w:t>
            </w:r>
          </w:p>
          <w:p w14:paraId="0FAF2F06" w14:textId="77777777" w:rsidR="00500294" w:rsidRDefault="00500294" w:rsidP="001A3C5A">
            <w:pPr>
              <w:rPr>
                <w:sz w:val="22"/>
                <w:szCs w:val="22"/>
              </w:rPr>
            </w:pPr>
          </w:p>
          <w:p w14:paraId="6EB34883" w14:textId="77777777" w:rsidR="00EB2D95" w:rsidRPr="00EB2D95" w:rsidRDefault="00EB2D95" w:rsidP="00EB2D95">
            <w:pPr>
              <w:jc w:val="both"/>
            </w:pPr>
            <w:r w:rsidRPr="00EB2D95">
              <w:t xml:space="preserve">Regulas 28. panta 1. punkts nosaka prasības NTF vai NTF pārvaldniekiem regulāri veikt stresa testēšanu saskaņā ar dažādiem iespējamiem scenārijiem, kā arī faktorus, kas jāietver šo scenāriju atsauces parametros. </w:t>
            </w:r>
          </w:p>
          <w:p w14:paraId="2AE61C63" w14:textId="011A72D0" w:rsidR="00DD539D" w:rsidRPr="00DD539D" w:rsidRDefault="00DD539D" w:rsidP="00DD539D">
            <w:pPr>
              <w:jc w:val="both"/>
            </w:pPr>
          </w:p>
        </w:tc>
      </w:tr>
      <w:tr w:rsidR="001E2E2A" w:rsidRPr="00A94E50" w14:paraId="26F754F2" w14:textId="77777777" w:rsidTr="00BA4ADE">
        <w:tc>
          <w:tcPr>
            <w:tcW w:w="421" w:type="dxa"/>
          </w:tcPr>
          <w:p w14:paraId="0202C840" w14:textId="77777777" w:rsidR="001E2E2A" w:rsidRPr="00A94E50" w:rsidRDefault="00D451AA" w:rsidP="00F92267">
            <w:pPr>
              <w:jc w:val="center"/>
              <w:rPr>
                <w:highlight w:val="yellow"/>
              </w:rPr>
            </w:pPr>
            <w:r>
              <w:t>3</w:t>
            </w:r>
            <w:r w:rsidR="001E2E2A" w:rsidRPr="0061249E">
              <w:t>.</w:t>
            </w:r>
          </w:p>
        </w:tc>
        <w:tc>
          <w:tcPr>
            <w:tcW w:w="8929" w:type="dxa"/>
          </w:tcPr>
          <w:p w14:paraId="3FC8EC0F" w14:textId="77777777" w:rsidR="001E2E2A" w:rsidRPr="00132582" w:rsidRDefault="001E2E2A" w:rsidP="00F92267">
            <w:pPr>
              <w:rPr>
                <w:b/>
              </w:rPr>
            </w:pPr>
            <w:r w:rsidRPr="00132582">
              <w:rPr>
                <w:b/>
              </w:rPr>
              <w:t>Pamatnostādņu mērķis un būtība</w:t>
            </w:r>
          </w:p>
          <w:p w14:paraId="1A14C6C2" w14:textId="77777777" w:rsidR="001E2E2A" w:rsidRDefault="001E2E2A" w:rsidP="00F92267">
            <w:pPr>
              <w:tabs>
                <w:tab w:val="left" w:pos="0"/>
              </w:tabs>
              <w:jc w:val="both"/>
            </w:pPr>
          </w:p>
          <w:p w14:paraId="180619F2" w14:textId="16C5EDC6" w:rsidR="00945324" w:rsidRPr="00EB2D95" w:rsidRDefault="00EB2D95" w:rsidP="00945324">
            <w:pPr>
              <w:tabs>
                <w:tab w:val="left" w:pos="0"/>
              </w:tabs>
              <w:spacing w:after="240"/>
              <w:jc w:val="both"/>
            </w:pPr>
            <w:r>
              <w:t xml:space="preserve">Pamatnostādņu mērķis </w:t>
            </w:r>
            <w:r w:rsidRPr="00C316C5">
              <w:t xml:space="preserve">ir </w:t>
            </w:r>
            <w:r w:rsidR="00E2455E">
              <w:t>nodrošināt</w:t>
            </w:r>
            <w:r w:rsidRPr="00C316C5">
              <w:t xml:space="preserve"> kopīgu, vien</w:t>
            </w:r>
            <w:r>
              <w:t>otu un konsekventu Regulas 28. panta 1. punktā minēto</w:t>
            </w:r>
            <w:r w:rsidRPr="00C316C5">
              <w:t xml:space="preserve"> </w:t>
            </w:r>
            <w:r>
              <w:t xml:space="preserve">prasību piemērošanu. </w:t>
            </w:r>
            <w:r w:rsidRPr="00462538">
              <w:t>Eiropas Vērtspapīru un tirgu iestāde</w:t>
            </w:r>
            <w:r>
              <w:t>i</w:t>
            </w:r>
            <w:r w:rsidRPr="00462538">
              <w:t xml:space="preserve"> (turpmāk –</w:t>
            </w:r>
            <w:r>
              <w:t xml:space="preserve"> </w:t>
            </w:r>
            <w:r w:rsidRPr="00462538">
              <w:t>E</w:t>
            </w:r>
            <w:r>
              <w:t>VTI)</w:t>
            </w:r>
            <w:r w:rsidRPr="00462538">
              <w:t xml:space="preserve"> </w:t>
            </w:r>
            <w:r>
              <w:t xml:space="preserve">ir </w:t>
            </w:r>
            <w:r w:rsidRPr="00462538">
              <w:t>deleģējum</w:t>
            </w:r>
            <w:r>
              <w:t>s</w:t>
            </w:r>
            <w:r w:rsidRPr="00462538">
              <w:t xml:space="preserve"> izstrādāt pamatnostādnes, lai </w:t>
            </w:r>
            <w:r w:rsidR="00E2455E">
              <w:t>noteiktu</w:t>
            </w:r>
            <w:r w:rsidRPr="00462538">
              <w:t xml:space="preserve"> kopīgus atsauces parametrus stresa testa scenārijiem</w:t>
            </w:r>
            <w:r>
              <w:t>, kas jāietver stresa testos,</w:t>
            </w:r>
            <w:r w:rsidR="00945324" w:rsidRPr="00EB2D95">
              <w:t xml:space="preserve"> ņemot vērā Regulas 28. panta 1. punktā </w:t>
            </w:r>
            <w:r w:rsidR="00B44712">
              <w:t>norādītos</w:t>
            </w:r>
            <w:r w:rsidR="00945324" w:rsidRPr="00EB2D95">
              <w:t xml:space="preserve"> faktorus: </w:t>
            </w:r>
          </w:p>
          <w:p w14:paraId="3D1E0FFD" w14:textId="77777777" w:rsidR="00945324" w:rsidRPr="00EB2D95" w:rsidRDefault="00945324" w:rsidP="00945324">
            <w:pPr>
              <w:tabs>
                <w:tab w:val="left" w:pos="0"/>
              </w:tabs>
              <w:jc w:val="both"/>
            </w:pPr>
            <w:r w:rsidRPr="00EB2D95">
              <w:t xml:space="preserve">a) NTF </w:t>
            </w:r>
            <w:bookmarkStart w:id="4" w:name="_Hlk76379883"/>
            <w:r w:rsidRPr="00EB2D95">
              <w:t xml:space="preserve">ieguldījumu </w:t>
            </w:r>
            <w:bookmarkEnd w:id="4"/>
            <w:r w:rsidRPr="00EB2D95">
              <w:t xml:space="preserve">portfelī esošo aktīvu likviditātes līmeņa hipotētiskas izmaiņas; </w:t>
            </w:r>
          </w:p>
          <w:p w14:paraId="455823CB" w14:textId="77777777" w:rsidR="00945324" w:rsidRPr="00EB2D95" w:rsidRDefault="00945324" w:rsidP="00945324">
            <w:pPr>
              <w:tabs>
                <w:tab w:val="left" w:pos="0"/>
              </w:tabs>
              <w:jc w:val="both"/>
            </w:pPr>
            <w:r w:rsidRPr="00EB2D95">
              <w:t xml:space="preserve">b) NTF ieguldījumu portfelī esošo aktīvu kredītriska līmeņa hipotētiskas izmaiņas, tostarp kredīta notikumus un reitinga notikumus; </w:t>
            </w:r>
          </w:p>
          <w:p w14:paraId="6161F624" w14:textId="77777777" w:rsidR="00945324" w:rsidRPr="00EB2D95" w:rsidRDefault="00945324" w:rsidP="00945324">
            <w:pPr>
              <w:tabs>
                <w:tab w:val="left" w:pos="0"/>
              </w:tabs>
              <w:jc w:val="both"/>
            </w:pPr>
            <w:r w:rsidRPr="00EB2D95">
              <w:t xml:space="preserve">c) procentu likmju un valūtas maiņas kursu hipotētisku izmaiņu tendences; </w:t>
            </w:r>
          </w:p>
          <w:p w14:paraId="062CA34A" w14:textId="77777777" w:rsidR="00945324" w:rsidRPr="00EB2D95" w:rsidRDefault="00945324" w:rsidP="00945324">
            <w:pPr>
              <w:tabs>
                <w:tab w:val="left" w:pos="0"/>
              </w:tabs>
              <w:jc w:val="both"/>
            </w:pPr>
            <w:r w:rsidRPr="00EB2D95">
              <w:t xml:space="preserve">d) atpakaļpirkšanas hipotētiskos apmērus; </w:t>
            </w:r>
          </w:p>
          <w:p w14:paraId="79810A0C" w14:textId="77777777" w:rsidR="00945324" w:rsidRPr="00EB2D95" w:rsidRDefault="00945324" w:rsidP="00945324">
            <w:pPr>
              <w:tabs>
                <w:tab w:val="left" w:pos="0"/>
              </w:tabs>
              <w:jc w:val="both"/>
            </w:pPr>
            <w:r w:rsidRPr="00EB2D95">
              <w:t xml:space="preserve">e) hipotētisku starpības palielināšanos vai samazināšanos starp indeksiem, kuriem piesaistītas portfeļa vērtspapīru procentu likmes; </w:t>
            </w:r>
          </w:p>
          <w:p w14:paraId="666B6917" w14:textId="77777777" w:rsidR="00945324" w:rsidRPr="00EB2D95" w:rsidRDefault="00945324" w:rsidP="00945324">
            <w:pPr>
              <w:tabs>
                <w:tab w:val="left" w:pos="0"/>
              </w:tabs>
              <w:jc w:val="both"/>
            </w:pPr>
            <w:r w:rsidRPr="00EB2D95">
              <w:t>f) hipotētiskus makrosistēmiskus satricinājumus.</w:t>
            </w:r>
          </w:p>
          <w:p w14:paraId="4E20E415" w14:textId="251C7082" w:rsidR="00EB2D95" w:rsidRDefault="00945324" w:rsidP="00945324">
            <w:pPr>
              <w:jc w:val="both"/>
            </w:pPr>
            <w:r>
              <w:t>EVTI ir</w:t>
            </w:r>
            <w:r w:rsidR="00EB2D95" w:rsidRPr="00462538">
              <w:t xml:space="preserve"> pienākum</w:t>
            </w:r>
            <w:r w:rsidR="00EB2D95">
              <w:t>s</w:t>
            </w:r>
            <w:r w:rsidR="00EB2D95" w:rsidRPr="00462538">
              <w:t xml:space="preserve"> atjaunināt </w:t>
            </w:r>
            <w:r>
              <w:t>P</w:t>
            </w:r>
            <w:r w:rsidR="00EB2D95">
              <w:t xml:space="preserve">amatnostādnes </w:t>
            </w:r>
            <w:r w:rsidR="00EB2D95" w:rsidRPr="00462538">
              <w:t>vismaz reizi gadā</w:t>
            </w:r>
            <w:r w:rsidR="00EB2D95">
              <w:t>.</w:t>
            </w:r>
            <w:r w:rsidR="00EB2D95" w:rsidRPr="00462538">
              <w:t xml:space="preserve"> </w:t>
            </w:r>
          </w:p>
          <w:p w14:paraId="0FA217DE" w14:textId="77777777" w:rsidR="00EB2D95" w:rsidRDefault="00EB2D95" w:rsidP="00EB2D95">
            <w:pPr>
              <w:jc w:val="both"/>
            </w:pPr>
          </w:p>
          <w:p w14:paraId="7A082EC6" w14:textId="6E7C058C" w:rsidR="00BA4ADE" w:rsidRPr="00E5402A" w:rsidRDefault="00945324" w:rsidP="00945324">
            <w:pPr>
              <w:tabs>
                <w:tab w:val="left" w:pos="0"/>
              </w:tabs>
              <w:spacing w:after="240"/>
              <w:jc w:val="both"/>
            </w:pPr>
            <w:r w:rsidRPr="00945324">
              <w:t xml:space="preserve">Saskaņā ar Regulas 28. panta 7. punktu EVTI ir pienākums atjaunināt Pamatnostādnes vismaz reizi gadā, ņemot vērā notikumu attīstību tirgū, tādējādi nodrošinot kopīgu, vienotu un konsekventu Regulas 28. panta 1. punktā minēto prasību piemērošanu. </w:t>
            </w:r>
            <w:r w:rsidR="00095364" w:rsidRPr="00095364">
              <w:t xml:space="preserve">Atjauninātās daļas Pamatnostādnēs (iekrāsotas sarkanā krāsā) piemēro no </w:t>
            </w:r>
            <w:r w:rsidR="0082577F">
              <w:t>2022. gada 5. jūlija</w:t>
            </w:r>
            <w:r w:rsidR="00095364" w:rsidRPr="00095364">
              <w:t>, pārējās Pamatnostādņu daļas piemēro no datumiem, kas noteikti Regulas 44. un 47. pantā.</w:t>
            </w:r>
          </w:p>
        </w:tc>
      </w:tr>
      <w:tr w:rsidR="001E2E2A" w:rsidRPr="00A94E50" w14:paraId="55D0D093" w14:textId="77777777" w:rsidTr="00BA4ADE">
        <w:tc>
          <w:tcPr>
            <w:tcW w:w="421" w:type="dxa"/>
          </w:tcPr>
          <w:p w14:paraId="79829ADB" w14:textId="77777777" w:rsidR="001E2E2A" w:rsidRPr="001B402B" w:rsidRDefault="001E2E2A" w:rsidP="00F92267">
            <w:pPr>
              <w:jc w:val="center"/>
            </w:pPr>
            <w:r w:rsidRPr="001B402B">
              <w:lastRenderedPageBreak/>
              <w:t>4.</w:t>
            </w:r>
          </w:p>
        </w:tc>
        <w:tc>
          <w:tcPr>
            <w:tcW w:w="8929" w:type="dxa"/>
          </w:tcPr>
          <w:p w14:paraId="227BC6AF" w14:textId="77777777" w:rsidR="001E2E2A" w:rsidRPr="00132582" w:rsidRDefault="00132582" w:rsidP="00F92267">
            <w:pPr>
              <w:rPr>
                <w:b/>
              </w:rPr>
            </w:pPr>
            <w:r w:rsidRPr="00132582">
              <w:rPr>
                <w:b/>
              </w:rPr>
              <w:t xml:space="preserve">Atsauce uz Pamatnostādņu tekstu </w:t>
            </w:r>
          </w:p>
          <w:p w14:paraId="0181FC9F" w14:textId="77777777" w:rsidR="001E2E2A" w:rsidRDefault="001E2E2A" w:rsidP="00F92267">
            <w:pPr>
              <w:rPr>
                <w:sz w:val="22"/>
                <w:szCs w:val="22"/>
              </w:rPr>
            </w:pPr>
          </w:p>
          <w:p w14:paraId="72C51974" w14:textId="2730B370" w:rsidR="00B97A18" w:rsidRPr="002A449E" w:rsidRDefault="00B97A18" w:rsidP="00F92267">
            <w:r w:rsidRPr="002A449E">
              <w:t xml:space="preserve">Pamatnostādņu teksts ir pieejams Eiropas </w:t>
            </w:r>
            <w:r w:rsidR="00722505">
              <w:t xml:space="preserve">Vērtspapīru un tirgu </w:t>
            </w:r>
            <w:r w:rsidRPr="002A449E">
              <w:t>iestādes mājaslapā:</w:t>
            </w:r>
          </w:p>
          <w:p w14:paraId="3E1C114F" w14:textId="774F2D0A" w:rsidR="00BA4ADE" w:rsidRPr="00BA4ADE" w:rsidRDefault="00EA087E" w:rsidP="00DD0D58">
            <w:pPr>
              <w:autoSpaceDE w:val="0"/>
              <w:autoSpaceDN w:val="0"/>
              <w:adjustRightInd w:val="0"/>
              <w:jc w:val="both"/>
              <w:rPr>
                <w:rFonts w:ascii="Verdana" w:eastAsiaTheme="minorHAnsi" w:hAnsi="Verdana" w:cs="Verdana"/>
                <w:color w:val="000000"/>
                <w:sz w:val="22"/>
                <w:szCs w:val="22"/>
              </w:rPr>
            </w:pPr>
            <w:hyperlink r:id="rId7" w:history="1">
              <w:r w:rsidR="00860531" w:rsidRPr="00860531">
                <w:rPr>
                  <w:rStyle w:val="Hipersaite"/>
                </w:rPr>
                <w:t>Guidelines on stress test scenarios under the MMF Regulation - 2021 update (europa.eu)</w:t>
              </w:r>
            </w:hyperlink>
            <w:r w:rsidR="00722505">
              <w:rPr>
                <w:rFonts w:ascii="Arial" w:eastAsiaTheme="minorHAnsi" w:hAnsi="Arial" w:cs="Arial"/>
                <w:color w:val="000000"/>
                <w:sz w:val="20"/>
                <w:szCs w:val="20"/>
              </w:rPr>
              <w:t>.</w:t>
            </w:r>
          </w:p>
        </w:tc>
      </w:tr>
      <w:tr w:rsidR="00132582" w:rsidRPr="00A94E50" w14:paraId="65853D30" w14:textId="77777777" w:rsidTr="00BA4ADE">
        <w:tc>
          <w:tcPr>
            <w:tcW w:w="421" w:type="dxa"/>
          </w:tcPr>
          <w:p w14:paraId="46DE7F2E" w14:textId="77777777" w:rsidR="00132582" w:rsidRPr="001B402B" w:rsidRDefault="00132582" w:rsidP="00F92267">
            <w:pPr>
              <w:jc w:val="center"/>
            </w:pPr>
            <w:r>
              <w:t>5</w:t>
            </w:r>
            <w:r w:rsidRPr="001B402B">
              <w:t>.</w:t>
            </w:r>
          </w:p>
        </w:tc>
        <w:tc>
          <w:tcPr>
            <w:tcW w:w="8929" w:type="dxa"/>
          </w:tcPr>
          <w:p w14:paraId="60C1D124" w14:textId="77777777" w:rsidR="00132582" w:rsidRPr="00132582" w:rsidRDefault="00CC49B9" w:rsidP="00F92267">
            <w:pPr>
              <w:rPr>
                <w:b/>
              </w:rPr>
            </w:pPr>
            <w:r>
              <w:rPr>
                <w:b/>
              </w:rPr>
              <w:t>Pamatnostādņu piemērošana</w:t>
            </w:r>
            <w:r w:rsidR="00132582" w:rsidRPr="00132582">
              <w:rPr>
                <w:b/>
              </w:rPr>
              <w:t xml:space="preserve"> </w:t>
            </w:r>
          </w:p>
          <w:p w14:paraId="06812C38" w14:textId="77777777" w:rsidR="00132582" w:rsidRDefault="00132582" w:rsidP="001A3C5A">
            <w:pPr>
              <w:pStyle w:val="Default"/>
              <w:jc w:val="both"/>
            </w:pPr>
          </w:p>
          <w:p w14:paraId="248A2787" w14:textId="6B1C7D13" w:rsidR="003D1498" w:rsidRDefault="0045619F" w:rsidP="002A449E">
            <w:pPr>
              <w:pStyle w:val="Default"/>
              <w:spacing w:after="240"/>
              <w:jc w:val="both"/>
            </w:pPr>
            <w:r>
              <w:t>Pamatnostādnes piemēro no 202</w:t>
            </w:r>
            <w:r w:rsidR="00860531">
              <w:t>2</w:t>
            </w:r>
            <w:r>
              <w:t>.</w:t>
            </w:r>
            <w:r w:rsidR="003D1498">
              <w:t xml:space="preserve"> </w:t>
            </w:r>
            <w:r>
              <w:t xml:space="preserve">gada </w:t>
            </w:r>
            <w:r w:rsidR="00860531">
              <w:t>5</w:t>
            </w:r>
            <w:r>
              <w:t>.</w:t>
            </w:r>
            <w:r w:rsidR="003D1498">
              <w:t xml:space="preserve"> </w:t>
            </w:r>
            <w:r w:rsidR="00860531">
              <w:t>jūlija</w:t>
            </w:r>
            <w:r>
              <w:t>.</w:t>
            </w:r>
          </w:p>
          <w:p w14:paraId="7DD81407" w14:textId="0F9688E4" w:rsidR="00DD539D" w:rsidRPr="00CA3717" w:rsidRDefault="00945324" w:rsidP="00DD539D">
            <w:pPr>
              <w:pStyle w:val="Default"/>
              <w:jc w:val="both"/>
            </w:pPr>
            <w:r w:rsidRPr="00945324">
              <w:t>Finanšu un kapitāla tirgus komisija paziņo, ka izmantos Pamatnostādnes savā darbībā un uzraudzības praksē, piemērojot Regulas 28. panta 1. punktā minētās prasības, un sagaida, ka ieguldījumu pārvaldes sabiedrības un alternatīvo ieguldījumu fondu pārvaldnieki, kuri nodibinās un pārvaldīs NTF, ievēros Pamatnostādnēs noteikto.</w:t>
            </w:r>
          </w:p>
        </w:tc>
      </w:tr>
    </w:tbl>
    <w:p w14:paraId="438942F6" w14:textId="77777777" w:rsidR="001E2E2A" w:rsidRDefault="001E2E2A"/>
    <w:p w14:paraId="03DAC01F" w14:textId="77777777" w:rsidR="00DD0D58" w:rsidRDefault="00DD0D58"/>
    <w:sectPr w:rsidR="00DD0D58" w:rsidSect="005816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85ED" w14:textId="77777777" w:rsidR="00EA087E" w:rsidRDefault="00EA087E" w:rsidP="00CC7737">
      <w:r>
        <w:separator/>
      </w:r>
    </w:p>
  </w:endnote>
  <w:endnote w:type="continuationSeparator" w:id="0">
    <w:p w14:paraId="6D874D8B" w14:textId="77777777" w:rsidR="00EA087E" w:rsidRDefault="00EA087E" w:rsidP="00CC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D2D4" w14:textId="77777777" w:rsidR="00B44712" w:rsidRDefault="00B4471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88678"/>
      <w:docPartObj>
        <w:docPartGallery w:val="Page Numbers (Bottom of Page)"/>
        <w:docPartUnique/>
      </w:docPartObj>
    </w:sdtPr>
    <w:sdtEndPr/>
    <w:sdtContent>
      <w:sdt>
        <w:sdtPr>
          <w:id w:val="860082579"/>
          <w:docPartObj>
            <w:docPartGallery w:val="Page Numbers (Top of Page)"/>
            <w:docPartUnique/>
          </w:docPartObj>
        </w:sdtPr>
        <w:sdtEndPr/>
        <w:sdtContent>
          <w:p w14:paraId="7BADE717" w14:textId="77777777" w:rsidR="00B44712" w:rsidRPr="00CC7737" w:rsidRDefault="00B44712">
            <w:pPr>
              <w:pStyle w:val="Kjene"/>
              <w:jc w:val="right"/>
            </w:pPr>
            <w:r>
              <w:t xml:space="preserve"> </w:t>
            </w:r>
            <w:r w:rsidRPr="00CC7737">
              <w:rPr>
                <w:bCs/>
              </w:rPr>
              <w:fldChar w:fldCharType="begin"/>
            </w:r>
            <w:r w:rsidRPr="00CC7737">
              <w:rPr>
                <w:bCs/>
              </w:rPr>
              <w:instrText xml:space="preserve"> PAGE </w:instrText>
            </w:r>
            <w:r w:rsidRPr="00CC7737">
              <w:rPr>
                <w:bCs/>
              </w:rPr>
              <w:fldChar w:fldCharType="separate"/>
            </w:r>
            <w:r>
              <w:rPr>
                <w:bCs/>
                <w:noProof/>
              </w:rPr>
              <w:t>2</w:t>
            </w:r>
            <w:r w:rsidRPr="00CC7737">
              <w:rPr>
                <w:bCs/>
              </w:rPr>
              <w:fldChar w:fldCharType="end"/>
            </w:r>
            <w:r w:rsidRPr="00CC7737">
              <w:t xml:space="preserve"> - </w:t>
            </w:r>
            <w:r w:rsidRPr="00CC7737">
              <w:rPr>
                <w:bCs/>
              </w:rPr>
              <w:fldChar w:fldCharType="begin"/>
            </w:r>
            <w:r w:rsidRPr="00CC7737">
              <w:rPr>
                <w:bCs/>
              </w:rPr>
              <w:instrText xml:space="preserve"> NUMPAGES  </w:instrText>
            </w:r>
            <w:r w:rsidRPr="00CC7737">
              <w:rPr>
                <w:bCs/>
              </w:rPr>
              <w:fldChar w:fldCharType="separate"/>
            </w:r>
            <w:r>
              <w:rPr>
                <w:bCs/>
                <w:noProof/>
              </w:rPr>
              <w:t>2</w:t>
            </w:r>
            <w:r w:rsidRPr="00CC7737">
              <w:rPr>
                <w:bCs/>
              </w:rPr>
              <w:fldChar w:fldCharType="end"/>
            </w:r>
          </w:p>
        </w:sdtContent>
      </w:sdt>
    </w:sdtContent>
  </w:sdt>
  <w:p w14:paraId="59874C53" w14:textId="77777777" w:rsidR="00B44712" w:rsidRDefault="00B4471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0AC8" w14:textId="77777777" w:rsidR="00B44712" w:rsidRDefault="00B447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866C" w14:textId="77777777" w:rsidR="00EA087E" w:rsidRDefault="00EA087E" w:rsidP="00CC7737">
      <w:r>
        <w:separator/>
      </w:r>
    </w:p>
  </w:footnote>
  <w:footnote w:type="continuationSeparator" w:id="0">
    <w:p w14:paraId="71BDFC21" w14:textId="77777777" w:rsidR="00EA087E" w:rsidRDefault="00EA087E" w:rsidP="00CC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3F78" w14:textId="77777777" w:rsidR="00B44712" w:rsidRDefault="00B447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4C30" w14:textId="77777777" w:rsidR="00B44712" w:rsidRDefault="00B4471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522C" w14:textId="77777777" w:rsidR="00B44712" w:rsidRDefault="00B447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B48D3"/>
    <w:multiLevelType w:val="hybridMultilevel"/>
    <w:tmpl w:val="71BED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F3DCE"/>
    <w:multiLevelType w:val="hybridMultilevel"/>
    <w:tmpl w:val="2904F386"/>
    <w:lvl w:ilvl="0" w:tplc="04090011">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F1EBF"/>
    <w:multiLevelType w:val="multilevel"/>
    <w:tmpl w:val="0409001F"/>
    <w:lvl w:ilvl="0">
      <w:start w:val="1"/>
      <w:numFmt w:val="decimal"/>
      <w:lvlText w:val="%1."/>
      <w:lvlJc w:val="left"/>
      <w:pPr>
        <w:ind w:left="502" w:hanging="360"/>
      </w:p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444486">
    <w:abstractNumId w:val="1"/>
  </w:num>
  <w:num w:numId="2" w16cid:durableId="534849105">
    <w:abstractNumId w:val="2"/>
  </w:num>
  <w:num w:numId="3" w16cid:durableId="202717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2A"/>
    <w:rsid w:val="000328BF"/>
    <w:rsid w:val="00066E42"/>
    <w:rsid w:val="00095364"/>
    <w:rsid w:val="000A24E7"/>
    <w:rsid w:val="00132582"/>
    <w:rsid w:val="00145587"/>
    <w:rsid w:val="001512F5"/>
    <w:rsid w:val="001A3C5A"/>
    <w:rsid w:val="001E23C9"/>
    <w:rsid w:val="001E2E2A"/>
    <w:rsid w:val="001F65D6"/>
    <w:rsid w:val="00241EAA"/>
    <w:rsid w:val="002504B8"/>
    <w:rsid w:val="0029330C"/>
    <w:rsid w:val="00297159"/>
    <w:rsid w:val="002A305D"/>
    <w:rsid w:val="002A449E"/>
    <w:rsid w:val="002B3F06"/>
    <w:rsid w:val="00326358"/>
    <w:rsid w:val="00365DD0"/>
    <w:rsid w:val="003671BC"/>
    <w:rsid w:val="00380EEC"/>
    <w:rsid w:val="003A157A"/>
    <w:rsid w:val="003D1498"/>
    <w:rsid w:val="003F1AE8"/>
    <w:rsid w:val="003F1BEF"/>
    <w:rsid w:val="00406A93"/>
    <w:rsid w:val="00445CC1"/>
    <w:rsid w:val="0045619F"/>
    <w:rsid w:val="00496715"/>
    <w:rsid w:val="004975FF"/>
    <w:rsid w:val="004B5808"/>
    <w:rsid w:val="00500294"/>
    <w:rsid w:val="005135DF"/>
    <w:rsid w:val="005816ED"/>
    <w:rsid w:val="005D0F78"/>
    <w:rsid w:val="005E0A9A"/>
    <w:rsid w:val="00620EEF"/>
    <w:rsid w:val="0066091D"/>
    <w:rsid w:val="00671F38"/>
    <w:rsid w:val="0067545C"/>
    <w:rsid w:val="006D4FB9"/>
    <w:rsid w:val="00722505"/>
    <w:rsid w:val="00734C6B"/>
    <w:rsid w:val="0075078C"/>
    <w:rsid w:val="00783CC0"/>
    <w:rsid w:val="0079718A"/>
    <w:rsid w:val="0082577F"/>
    <w:rsid w:val="00860531"/>
    <w:rsid w:val="00872AEE"/>
    <w:rsid w:val="0088260F"/>
    <w:rsid w:val="008A58C1"/>
    <w:rsid w:val="008B7194"/>
    <w:rsid w:val="008D5884"/>
    <w:rsid w:val="008F484A"/>
    <w:rsid w:val="00933BB2"/>
    <w:rsid w:val="00945324"/>
    <w:rsid w:val="009B6913"/>
    <w:rsid w:val="00A107E0"/>
    <w:rsid w:val="00A30275"/>
    <w:rsid w:val="00A46042"/>
    <w:rsid w:val="00A6491B"/>
    <w:rsid w:val="00A715FD"/>
    <w:rsid w:val="00A7292A"/>
    <w:rsid w:val="00A943B1"/>
    <w:rsid w:val="00AE0405"/>
    <w:rsid w:val="00B05E16"/>
    <w:rsid w:val="00B44712"/>
    <w:rsid w:val="00B54050"/>
    <w:rsid w:val="00B56E98"/>
    <w:rsid w:val="00B97A18"/>
    <w:rsid w:val="00BA4ADE"/>
    <w:rsid w:val="00BA52CE"/>
    <w:rsid w:val="00BC1CD0"/>
    <w:rsid w:val="00C62ED9"/>
    <w:rsid w:val="00C67AD4"/>
    <w:rsid w:val="00CC49B9"/>
    <w:rsid w:val="00CC7737"/>
    <w:rsid w:val="00D07E6A"/>
    <w:rsid w:val="00D2729B"/>
    <w:rsid w:val="00D451AA"/>
    <w:rsid w:val="00DD0D58"/>
    <w:rsid w:val="00DD539D"/>
    <w:rsid w:val="00E2455E"/>
    <w:rsid w:val="00E468FD"/>
    <w:rsid w:val="00E5402A"/>
    <w:rsid w:val="00E656F0"/>
    <w:rsid w:val="00E75E4C"/>
    <w:rsid w:val="00E82F9A"/>
    <w:rsid w:val="00EA087E"/>
    <w:rsid w:val="00EB2D95"/>
    <w:rsid w:val="00EF47FC"/>
    <w:rsid w:val="00F0580D"/>
    <w:rsid w:val="00F16A1B"/>
    <w:rsid w:val="00F31319"/>
    <w:rsid w:val="00F92267"/>
    <w:rsid w:val="00F95DED"/>
    <w:rsid w:val="00FC723C"/>
    <w:rsid w:val="00FD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7AC8"/>
  <w15:docId w15:val="{76AC301A-611E-479F-AE7C-8A370712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2E2A"/>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link w:val="Virsraksts2Rakstz"/>
    <w:autoRedefine/>
    <w:qFormat/>
    <w:rsid w:val="001E2E2A"/>
    <w:pPr>
      <w:keepLines/>
      <w:jc w:val="both"/>
      <w:outlineLvl w:val="1"/>
    </w:pPr>
    <w:rPr>
      <w:rFonts w:eastAsia="Calibri"/>
      <w:color w:val="000000"/>
      <w:lang w:val="x-none" w:eastAsia="x-none"/>
    </w:rPr>
  </w:style>
  <w:style w:type="paragraph" w:styleId="Virsraksts4">
    <w:name w:val="heading 4"/>
    <w:basedOn w:val="Parasts"/>
    <w:next w:val="Parasts"/>
    <w:link w:val="Virsraksts4Rakstz"/>
    <w:uiPriority w:val="9"/>
    <w:semiHidden/>
    <w:unhideWhenUsed/>
    <w:qFormat/>
    <w:rsid w:val="001A3C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E2E2A"/>
    <w:rPr>
      <w:rFonts w:ascii="Times New Roman" w:eastAsia="Calibri" w:hAnsi="Times New Roman" w:cs="Times New Roman"/>
      <w:color w:val="000000"/>
      <w:sz w:val="24"/>
      <w:szCs w:val="24"/>
      <w:lang w:val="x-none" w:eastAsia="x-none"/>
    </w:rPr>
  </w:style>
  <w:style w:type="paragraph" w:customStyle="1" w:styleId="Datums1">
    <w:name w:val="Datums1"/>
    <w:basedOn w:val="Parasts"/>
    <w:next w:val="Parasts"/>
    <w:rsid w:val="001E2E2A"/>
    <w:pPr>
      <w:spacing w:before="1700"/>
    </w:pPr>
    <w:rPr>
      <w:szCs w:val="20"/>
      <w:lang w:val="en-US"/>
    </w:rPr>
  </w:style>
  <w:style w:type="paragraph" w:customStyle="1" w:styleId="Default">
    <w:name w:val="Default"/>
    <w:rsid w:val="001E2E2A"/>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table" w:styleId="Reatabula">
    <w:name w:val="Table Grid"/>
    <w:basedOn w:val="Parastatabula"/>
    <w:uiPriority w:val="59"/>
    <w:rsid w:val="001E2E2A"/>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1E2E2A"/>
    <w:pPr>
      <w:spacing w:after="120"/>
    </w:pPr>
  </w:style>
  <w:style w:type="character" w:customStyle="1" w:styleId="PamattekstsRakstz">
    <w:name w:val="Pamatteksts Rakstz."/>
    <w:basedOn w:val="Noklusjumarindkopasfonts"/>
    <w:link w:val="Pamatteksts"/>
    <w:uiPriority w:val="99"/>
    <w:rsid w:val="001E2E2A"/>
    <w:rPr>
      <w:rFonts w:ascii="Times New Roman" w:eastAsia="Times New Roman" w:hAnsi="Times New Roman" w:cs="Times New Roman"/>
      <w:sz w:val="24"/>
      <w:szCs w:val="24"/>
      <w:lang w:val="lv-LV"/>
    </w:rPr>
  </w:style>
  <w:style w:type="paragraph" w:styleId="Sarakstarindkopa">
    <w:name w:val="List Paragraph"/>
    <w:basedOn w:val="Parasts"/>
    <w:uiPriority w:val="34"/>
    <w:qFormat/>
    <w:rsid w:val="001E2E2A"/>
    <w:pPr>
      <w:ind w:left="720"/>
      <w:contextualSpacing/>
    </w:pPr>
  </w:style>
  <w:style w:type="paragraph" w:customStyle="1" w:styleId="tv213">
    <w:name w:val="tv213"/>
    <w:basedOn w:val="Parasts"/>
    <w:rsid w:val="001E2E2A"/>
    <w:pPr>
      <w:spacing w:before="100" w:beforeAutospacing="1" w:after="100" w:afterAutospacing="1"/>
    </w:pPr>
    <w:rPr>
      <w:lang w:val="en-US"/>
    </w:rPr>
  </w:style>
  <w:style w:type="character" w:styleId="Hipersaite">
    <w:name w:val="Hyperlink"/>
    <w:basedOn w:val="Noklusjumarindkopasfonts"/>
    <w:uiPriority w:val="99"/>
    <w:unhideWhenUsed/>
    <w:rsid w:val="00132582"/>
    <w:rPr>
      <w:color w:val="0000FF" w:themeColor="hyperlink"/>
      <w:u w:val="single"/>
    </w:rPr>
  </w:style>
  <w:style w:type="character" w:styleId="Izmantotahipersaite">
    <w:name w:val="FollowedHyperlink"/>
    <w:basedOn w:val="Noklusjumarindkopasfonts"/>
    <w:uiPriority w:val="99"/>
    <w:semiHidden/>
    <w:unhideWhenUsed/>
    <w:rsid w:val="00F0580D"/>
    <w:rPr>
      <w:color w:val="800080" w:themeColor="followedHyperlink"/>
      <w:u w:val="single"/>
    </w:rPr>
  </w:style>
  <w:style w:type="character" w:customStyle="1" w:styleId="Virsraksts4Rakstz">
    <w:name w:val="Virsraksts 4 Rakstz."/>
    <w:basedOn w:val="Noklusjumarindkopasfonts"/>
    <w:link w:val="Virsraksts4"/>
    <w:uiPriority w:val="9"/>
    <w:semiHidden/>
    <w:rsid w:val="001A3C5A"/>
    <w:rPr>
      <w:rFonts w:asciiTheme="majorHAnsi" w:eastAsiaTheme="majorEastAsia" w:hAnsiTheme="majorHAnsi" w:cstheme="majorBidi"/>
      <w:b/>
      <w:bCs/>
      <w:i/>
      <w:iCs/>
      <w:color w:val="4F81BD" w:themeColor="accent1"/>
      <w:sz w:val="24"/>
      <w:szCs w:val="24"/>
      <w:lang w:val="lv-LV"/>
    </w:rPr>
  </w:style>
  <w:style w:type="paragraph" w:styleId="Galvene">
    <w:name w:val="header"/>
    <w:basedOn w:val="Parasts"/>
    <w:link w:val="GalveneRakstz"/>
    <w:uiPriority w:val="99"/>
    <w:unhideWhenUsed/>
    <w:rsid w:val="00CC7737"/>
    <w:pPr>
      <w:tabs>
        <w:tab w:val="center" w:pos="4320"/>
        <w:tab w:val="right" w:pos="8640"/>
      </w:tabs>
    </w:pPr>
  </w:style>
  <w:style w:type="character" w:customStyle="1" w:styleId="GalveneRakstz">
    <w:name w:val="Galvene Rakstz."/>
    <w:basedOn w:val="Noklusjumarindkopasfonts"/>
    <w:link w:val="Galvene"/>
    <w:uiPriority w:val="99"/>
    <w:rsid w:val="00CC7737"/>
    <w:rPr>
      <w:rFonts w:ascii="Times New Roman" w:eastAsia="Times New Roman" w:hAnsi="Times New Roman" w:cs="Times New Roman"/>
      <w:sz w:val="24"/>
      <w:szCs w:val="24"/>
      <w:lang w:val="lv-LV"/>
    </w:rPr>
  </w:style>
  <w:style w:type="paragraph" w:styleId="Kjene">
    <w:name w:val="footer"/>
    <w:basedOn w:val="Parasts"/>
    <w:link w:val="KjeneRakstz"/>
    <w:uiPriority w:val="99"/>
    <w:unhideWhenUsed/>
    <w:rsid w:val="00CC7737"/>
    <w:pPr>
      <w:tabs>
        <w:tab w:val="center" w:pos="4320"/>
        <w:tab w:val="right" w:pos="8640"/>
      </w:tabs>
    </w:pPr>
  </w:style>
  <w:style w:type="character" w:customStyle="1" w:styleId="KjeneRakstz">
    <w:name w:val="Kājene Rakstz."/>
    <w:basedOn w:val="Noklusjumarindkopasfonts"/>
    <w:link w:val="Kjene"/>
    <w:uiPriority w:val="99"/>
    <w:rsid w:val="00CC7737"/>
    <w:rPr>
      <w:rFonts w:ascii="Times New Roman" w:eastAsia="Times New Roman" w:hAnsi="Times New Roman" w:cs="Times New Roman"/>
      <w:sz w:val="24"/>
      <w:szCs w:val="24"/>
      <w:lang w:val="lv-LV"/>
    </w:rPr>
  </w:style>
  <w:style w:type="character" w:styleId="Komentraatsauce">
    <w:name w:val="annotation reference"/>
    <w:basedOn w:val="Noklusjumarindkopasfonts"/>
    <w:uiPriority w:val="99"/>
    <w:semiHidden/>
    <w:unhideWhenUsed/>
    <w:rsid w:val="00734C6B"/>
    <w:rPr>
      <w:sz w:val="16"/>
      <w:szCs w:val="16"/>
    </w:rPr>
  </w:style>
  <w:style w:type="paragraph" w:styleId="Komentrateksts">
    <w:name w:val="annotation text"/>
    <w:basedOn w:val="Parasts"/>
    <w:link w:val="KomentratekstsRakstz"/>
    <w:uiPriority w:val="99"/>
    <w:semiHidden/>
    <w:unhideWhenUsed/>
    <w:rsid w:val="00734C6B"/>
    <w:rPr>
      <w:sz w:val="20"/>
      <w:szCs w:val="20"/>
    </w:rPr>
  </w:style>
  <w:style w:type="character" w:customStyle="1" w:styleId="KomentratekstsRakstz">
    <w:name w:val="Komentāra teksts Rakstz."/>
    <w:basedOn w:val="Noklusjumarindkopasfonts"/>
    <w:link w:val="Komentrateksts"/>
    <w:uiPriority w:val="99"/>
    <w:semiHidden/>
    <w:rsid w:val="00734C6B"/>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734C6B"/>
    <w:rPr>
      <w:b/>
      <w:bCs/>
    </w:rPr>
  </w:style>
  <w:style w:type="character" w:customStyle="1" w:styleId="KomentratmaRakstz">
    <w:name w:val="Komentāra tēma Rakstz."/>
    <w:basedOn w:val="KomentratekstsRakstz"/>
    <w:link w:val="Komentratma"/>
    <w:uiPriority w:val="99"/>
    <w:semiHidden/>
    <w:rsid w:val="00734C6B"/>
    <w:rPr>
      <w:rFonts w:ascii="Times New Roman" w:eastAsia="Times New Roman" w:hAnsi="Times New Roman" w:cs="Times New Roman"/>
      <w:b/>
      <w:bCs/>
      <w:sz w:val="20"/>
      <w:szCs w:val="20"/>
      <w:lang w:val="lv-LV"/>
    </w:rPr>
  </w:style>
  <w:style w:type="paragraph" w:styleId="Balonteksts">
    <w:name w:val="Balloon Text"/>
    <w:basedOn w:val="Parasts"/>
    <w:link w:val="BalontekstsRakstz"/>
    <w:uiPriority w:val="99"/>
    <w:semiHidden/>
    <w:unhideWhenUsed/>
    <w:rsid w:val="00734C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34C6B"/>
    <w:rPr>
      <w:rFonts w:ascii="Segoe UI" w:eastAsia="Times New Roman" w:hAnsi="Segoe UI" w:cs="Segoe UI"/>
      <w:sz w:val="18"/>
      <w:szCs w:val="18"/>
      <w:lang w:val="lv-LV"/>
    </w:rPr>
  </w:style>
  <w:style w:type="character" w:styleId="Neatrisintapieminana">
    <w:name w:val="Unresolved Mention"/>
    <w:basedOn w:val="Noklusjumarindkopasfonts"/>
    <w:uiPriority w:val="99"/>
    <w:semiHidden/>
    <w:unhideWhenUsed/>
    <w:rsid w:val="0072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sma.europa.eu/document/guidelines-stress-test-scenarios-under-mmf-regulation-2021-upd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2066</Words>
  <Characters>1178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Nadezda Karpova</dc:creator>
  <cp:lastModifiedBy>Airisa Ādamsone</cp:lastModifiedBy>
  <cp:revision>2</cp:revision>
  <dcterms:created xsi:type="dcterms:W3CDTF">2022-07-05T09:15:00Z</dcterms:created>
  <dcterms:modified xsi:type="dcterms:W3CDTF">2022-07-05T09:15:00Z</dcterms:modified>
</cp:coreProperties>
</file>