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C229" w14:textId="77777777" w:rsidR="007D0EE6" w:rsidRPr="008463BA" w:rsidRDefault="007D0EE6" w:rsidP="006570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</w:p>
    <w:p w14:paraId="632B77E8" w14:textId="77777777" w:rsidR="006570B3" w:rsidRPr="008463BA" w:rsidRDefault="006570B3" w:rsidP="006570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8463BA">
        <w:rPr>
          <w:rFonts w:ascii="Times New Roman" w:hAnsi="Times New Roman" w:cs="Times New Roman"/>
          <w:b/>
          <w:sz w:val="40"/>
          <w:szCs w:val="40"/>
          <w:lang w:val="lv-LV"/>
        </w:rPr>
        <w:t xml:space="preserve">Informācija par </w:t>
      </w:r>
      <w:r w:rsidR="00D46E65" w:rsidRPr="008463BA">
        <w:rPr>
          <w:rFonts w:ascii="Times New Roman" w:hAnsi="Times New Roman" w:cs="Times New Roman"/>
          <w:b/>
          <w:sz w:val="40"/>
          <w:szCs w:val="40"/>
          <w:lang w:val="lv-LV"/>
        </w:rPr>
        <w:t>Eiropas Vērtspapīru un tirgu iestādes (</w:t>
      </w:r>
      <w:r w:rsidRPr="008463BA">
        <w:rPr>
          <w:rFonts w:ascii="Times New Roman" w:hAnsi="Times New Roman" w:cs="Times New Roman"/>
          <w:b/>
          <w:sz w:val="40"/>
          <w:szCs w:val="40"/>
          <w:lang w:val="lv-LV"/>
        </w:rPr>
        <w:t>E</w:t>
      </w:r>
      <w:r w:rsidR="00E47E74" w:rsidRPr="008463BA">
        <w:rPr>
          <w:rFonts w:ascii="Times New Roman" w:hAnsi="Times New Roman" w:cs="Times New Roman"/>
          <w:b/>
          <w:sz w:val="40"/>
          <w:szCs w:val="40"/>
          <w:lang w:val="lv-LV"/>
        </w:rPr>
        <w:t>VTI</w:t>
      </w:r>
      <w:r w:rsidR="00D46E65" w:rsidRPr="008463BA">
        <w:rPr>
          <w:rFonts w:ascii="Times New Roman" w:hAnsi="Times New Roman" w:cs="Times New Roman"/>
          <w:b/>
          <w:sz w:val="40"/>
          <w:szCs w:val="40"/>
          <w:lang w:val="lv-LV"/>
        </w:rPr>
        <w:t>)</w:t>
      </w:r>
      <w:r w:rsidRPr="008463BA">
        <w:rPr>
          <w:rFonts w:ascii="Times New Roman" w:hAnsi="Times New Roman" w:cs="Times New Roman"/>
          <w:b/>
          <w:sz w:val="40"/>
          <w:szCs w:val="40"/>
          <w:lang w:val="lv-LV"/>
        </w:rPr>
        <w:t xml:space="preserve"> p</w:t>
      </w:r>
      <w:r w:rsidR="007C6578" w:rsidRPr="008463BA">
        <w:rPr>
          <w:rFonts w:ascii="Times New Roman" w:hAnsi="Times New Roman" w:cs="Times New Roman"/>
          <w:b/>
          <w:sz w:val="40"/>
          <w:szCs w:val="40"/>
          <w:lang w:val="lv-LV"/>
        </w:rPr>
        <w:t>a</w:t>
      </w:r>
      <w:r w:rsidR="00D46E65" w:rsidRPr="008463BA">
        <w:rPr>
          <w:rFonts w:ascii="Times New Roman" w:hAnsi="Times New Roman" w:cs="Times New Roman"/>
          <w:b/>
          <w:sz w:val="40"/>
          <w:szCs w:val="40"/>
          <w:lang w:val="lv-LV"/>
        </w:rPr>
        <w:t>matnostādņu</w:t>
      </w:r>
      <w:r w:rsidRPr="008463BA">
        <w:rPr>
          <w:rFonts w:ascii="Times New Roman" w:hAnsi="Times New Roman" w:cs="Times New Roman"/>
          <w:b/>
          <w:sz w:val="40"/>
          <w:szCs w:val="40"/>
          <w:lang w:val="lv-LV"/>
        </w:rPr>
        <w:t xml:space="preserve"> </w:t>
      </w:r>
      <w:r w:rsidR="00D46E65" w:rsidRPr="008463BA">
        <w:rPr>
          <w:rFonts w:ascii="Times New Roman" w:hAnsi="Times New Roman" w:cs="Times New Roman"/>
          <w:b/>
          <w:sz w:val="40"/>
          <w:szCs w:val="40"/>
          <w:lang w:val="lv-LV"/>
        </w:rPr>
        <w:t>ieviešanu un piemērošanu</w:t>
      </w:r>
    </w:p>
    <w:p w14:paraId="15A3F765" w14:textId="77777777" w:rsidR="00D46E65" w:rsidRPr="008463BA" w:rsidRDefault="002E6385" w:rsidP="00D46E65">
      <w:pPr>
        <w:spacing w:after="0"/>
        <w:jc w:val="center"/>
        <w:rPr>
          <w:rFonts w:ascii="Times New Roman" w:hAnsi="Times New Roman" w:cs="Times New Roman"/>
          <w:lang w:val="lv-LV"/>
        </w:rPr>
      </w:pPr>
      <w:r w:rsidRPr="008463BA">
        <w:rPr>
          <w:rFonts w:ascii="Times New Roman" w:hAnsi="Times New Roman" w:cs="Times New Roman"/>
          <w:lang w:val="lv-LV"/>
        </w:rPr>
        <w:t xml:space="preserve"> </w:t>
      </w:r>
      <w:r w:rsidR="00D46E65" w:rsidRPr="008463BA">
        <w:rPr>
          <w:rFonts w:ascii="Times New Roman" w:hAnsi="Times New Roman" w:cs="Times New Roman"/>
          <w:lang w:val="lv-LV"/>
        </w:rPr>
        <w:t>(E</w:t>
      </w:r>
      <w:r w:rsidR="00E47E74" w:rsidRPr="008463BA">
        <w:rPr>
          <w:rFonts w:ascii="Times New Roman" w:hAnsi="Times New Roman" w:cs="Times New Roman"/>
          <w:lang w:val="lv-LV"/>
        </w:rPr>
        <w:t>VTI</w:t>
      </w:r>
      <w:r w:rsidR="00D46E65" w:rsidRPr="008463BA">
        <w:rPr>
          <w:rFonts w:ascii="Times New Roman" w:hAnsi="Times New Roman" w:cs="Times New Roman"/>
          <w:lang w:val="lv-LV"/>
        </w:rPr>
        <w:t xml:space="preserve"> pamatnostādnes, kuras FKTK piemēro savā uzraudzībā un kuras ir jāievēro finanšu un kapitāla tirgus dalībniekiem*)</w:t>
      </w:r>
    </w:p>
    <w:p w14:paraId="4E5697AF" w14:textId="77777777" w:rsidR="002E6385" w:rsidRPr="008463BA" w:rsidRDefault="002E6385" w:rsidP="002E63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</w:p>
    <w:p w14:paraId="6B06050A" w14:textId="1BC4009D" w:rsidR="002E6385" w:rsidRPr="008463BA" w:rsidRDefault="002E6385" w:rsidP="002E638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lv-LV"/>
        </w:rPr>
      </w:pPr>
      <w:r w:rsidRPr="004E4D7C">
        <w:rPr>
          <w:rFonts w:ascii="Times New Roman" w:hAnsi="Times New Roman" w:cs="Times New Roman"/>
          <w:b/>
          <w:i/>
          <w:sz w:val="28"/>
          <w:szCs w:val="28"/>
          <w:lang w:val="lv-LV"/>
        </w:rPr>
        <w:t xml:space="preserve">(atjaunots </w:t>
      </w:r>
      <w:r w:rsidR="0005664C">
        <w:rPr>
          <w:rFonts w:ascii="Times New Roman" w:hAnsi="Times New Roman" w:cs="Times New Roman"/>
          <w:b/>
          <w:i/>
          <w:sz w:val="28"/>
          <w:szCs w:val="28"/>
          <w:lang w:val="lv-LV"/>
        </w:rPr>
        <w:t>0</w:t>
      </w:r>
      <w:r w:rsidR="00DF4D31">
        <w:rPr>
          <w:rFonts w:ascii="Times New Roman" w:hAnsi="Times New Roman" w:cs="Times New Roman"/>
          <w:b/>
          <w:i/>
          <w:sz w:val="28"/>
          <w:szCs w:val="28"/>
          <w:lang w:val="lv-LV"/>
        </w:rPr>
        <w:t>5</w:t>
      </w:r>
      <w:r w:rsidR="003B46F1">
        <w:rPr>
          <w:rFonts w:ascii="Times New Roman" w:hAnsi="Times New Roman" w:cs="Times New Roman"/>
          <w:b/>
          <w:i/>
          <w:sz w:val="28"/>
          <w:szCs w:val="28"/>
          <w:lang w:val="lv-LV"/>
        </w:rPr>
        <w:t>.</w:t>
      </w:r>
      <w:r w:rsidR="0005664C">
        <w:rPr>
          <w:rFonts w:ascii="Times New Roman" w:hAnsi="Times New Roman" w:cs="Times New Roman"/>
          <w:b/>
          <w:i/>
          <w:sz w:val="28"/>
          <w:szCs w:val="28"/>
          <w:lang w:val="lv-LV"/>
        </w:rPr>
        <w:t>0</w:t>
      </w:r>
      <w:r w:rsidR="00DF4D31">
        <w:rPr>
          <w:rFonts w:ascii="Times New Roman" w:hAnsi="Times New Roman" w:cs="Times New Roman"/>
          <w:b/>
          <w:i/>
          <w:sz w:val="28"/>
          <w:szCs w:val="28"/>
          <w:lang w:val="lv-LV"/>
        </w:rPr>
        <w:t>7</w:t>
      </w:r>
      <w:r w:rsidR="003B46F1">
        <w:rPr>
          <w:rFonts w:ascii="Times New Roman" w:hAnsi="Times New Roman" w:cs="Times New Roman"/>
          <w:b/>
          <w:i/>
          <w:sz w:val="28"/>
          <w:szCs w:val="28"/>
          <w:lang w:val="lv-LV"/>
        </w:rPr>
        <w:t>.</w:t>
      </w:r>
      <w:r w:rsidR="00714026" w:rsidRPr="004E4D7C">
        <w:rPr>
          <w:rFonts w:ascii="Times New Roman" w:hAnsi="Times New Roman" w:cs="Times New Roman"/>
          <w:b/>
          <w:i/>
          <w:sz w:val="28"/>
          <w:szCs w:val="28"/>
          <w:lang w:val="lv-LV"/>
        </w:rPr>
        <w:t>202</w:t>
      </w:r>
      <w:r w:rsidR="0005664C">
        <w:rPr>
          <w:rFonts w:ascii="Times New Roman" w:hAnsi="Times New Roman" w:cs="Times New Roman"/>
          <w:b/>
          <w:i/>
          <w:sz w:val="28"/>
          <w:szCs w:val="28"/>
          <w:lang w:val="lv-LV"/>
        </w:rPr>
        <w:t>2</w:t>
      </w:r>
      <w:r w:rsidRPr="004E4D7C">
        <w:rPr>
          <w:rFonts w:ascii="Times New Roman" w:hAnsi="Times New Roman" w:cs="Times New Roman"/>
          <w:b/>
          <w:i/>
          <w:sz w:val="28"/>
          <w:szCs w:val="28"/>
          <w:lang w:val="lv-LV"/>
        </w:rPr>
        <w:t>.)</w:t>
      </w:r>
    </w:p>
    <w:tbl>
      <w:tblPr>
        <w:tblStyle w:val="Reatabul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7264"/>
        <w:gridCol w:w="2126"/>
        <w:gridCol w:w="2121"/>
        <w:gridCol w:w="2273"/>
      </w:tblGrid>
      <w:tr w:rsidR="005F3706" w:rsidRPr="008463BA" w14:paraId="1FC3DAC5" w14:textId="77777777" w:rsidTr="005F3706">
        <w:trPr>
          <w:trHeight w:val="175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0FC431F" w14:textId="77777777" w:rsidR="005F3706" w:rsidRPr="008463BA" w:rsidRDefault="005F3706" w:rsidP="00EC48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Pamat direktīva vai regula</w:t>
            </w:r>
          </w:p>
        </w:tc>
        <w:tc>
          <w:tcPr>
            <w:tcW w:w="7264" w:type="dxa"/>
            <w:vAlign w:val="center"/>
          </w:tcPr>
          <w:p w14:paraId="48A7EB15" w14:textId="77777777" w:rsidR="005F3706" w:rsidRPr="008463BA" w:rsidRDefault="005F3706" w:rsidP="00E47E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EVTI pamatnostādņu nosaukums</w:t>
            </w:r>
          </w:p>
        </w:tc>
        <w:tc>
          <w:tcPr>
            <w:tcW w:w="2126" w:type="dxa"/>
            <w:vAlign w:val="center"/>
          </w:tcPr>
          <w:p w14:paraId="6CF250E7" w14:textId="77777777" w:rsidR="005F3706" w:rsidRPr="008463BA" w:rsidRDefault="005F3706" w:rsidP="00EC48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Norāde, vai tieši piemērojamas vai ieviestas ar FKTK noteikumiem/</w:t>
            </w:r>
          </w:p>
          <w:p w14:paraId="2716AAAD" w14:textId="77777777" w:rsidR="005F3706" w:rsidRPr="008463BA" w:rsidRDefault="005F3706" w:rsidP="00EC48FA">
            <w:pPr>
              <w:pStyle w:val="Sarakstarindkopa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ieteikumiem.</w:t>
            </w:r>
          </w:p>
        </w:tc>
        <w:tc>
          <w:tcPr>
            <w:tcW w:w="2121" w:type="dxa"/>
            <w:vAlign w:val="center"/>
          </w:tcPr>
          <w:p w14:paraId="2B9E72F6" w14:textId="77777777" w:rsidR="005F3706" w:rsidRPr="008463BA" w:rsidRDefault="005F3706" w:rsidP="00EC48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Attiecīgie FKTK normatīvie noteikumi vai ieteikumi</w:t>
            </w:r>
          </w:p>
        </w:tc>
        <w:tc>
          <w:tcPr>
            <w:tcW w:w="2273" w:type="dxa"/>
            <w:vAlign w:val="center"/>
          </w:tcPr>
          <w:p w14:paraId="78ACFF1C" w14:textId="4540E6D3" w:rsidR="005F3706" w:rsidRPr="008463BA" w:rsidRDefault="005F3706" w:rsidP="003D24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Papildu informācija</w:t>
            </w:r>
          </w:p>
        </w:tc>
      </w:tr>
      <w:tr w:rsidR="005F3706" w:rsidRPr="008463BA" w14:paraId="0EA3011B" w14:textId="77777777" w:rsidTr="005F370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AC8C50" w14:textId="77777777" w:rsidR="005F3706" w:rsidRPr="008463BA" w:rsidRDefault="005F3706" w:rsidP="00C41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Direktīva Nr. 2011/61/ES [AIFMD]</w:t>
            </w:r>
          </w:p>
          <w:p w14:paraId="718F9D3F" w14:textId="77777777" w:rsidR="005F3706" w:rsidRPr="008463BA" w:rsidRDefault="005F3706" w:rsidP="00C411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 alternatīvo ieguldījumu fondu pārvaldniekiem)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D905EF7" w14:textId="77777777" w:rsidR="005F3706" w:rsidRPr="008463BA" w:rsidRDefault="004404D4" w:rsidP="00C4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hyperlink r:id="rId7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pienākumu ziņot saskaņā ar AIFPD 3. panta 3. punkta d) apakšpunktu un 24. panta 1., 2. un 4. punktu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69804EC" w14:textId="77777777" w:rsidR="005F3706" w:rsidRPr="008463BA" w:rsidRDefault="005F3706" w:rsidP="007A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61018762" w14:textId="77777777" w:rsidR="005F3706" w:rsidRPr="008463BA" w:rsidRDefault="005F3706" w:rsidP="00450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01.09.2020.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FKTK noteikumi Nr.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146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12B3968B" w14:textId="761695BF" w:rsidR="005F3706" w:rsidRPr="008463BA" w:rsidRDefault="005F3706" w:rsidP="00D23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94048A" w14:paraId="5668EFBC" w14:textId="77777777" w:rsidTr="005F370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6E1B8A" w14:textId="77777777" w:rsidR="005F3706" w:rsidRPr="008463BA" w:rsidRDefault="005F3706" w:rsidP="00C4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01232F7D" w14:textId="77777777" w:rsidR="005F3706" w:rsidRPr="008463BA" w:rsidRDefault="004404D4" w:rsidP="008D2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8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 xml:space="preserve">Pamatnostādnes saprašanās </w:t>
              </w:r>
              <w:proofErr w:type="spellStart"/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paraugmemorandam</w:t>
              </w:r>
              <w:proofErr w:type="spellEnd"/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 xml:space="preserve"> par konsultācijām, sadarbību un informācijas apmaiņu saistībā ar alternatīvo ieguldījumu fondu pārvaldnieku (AIFP) struktūru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3DE18449" w14:textId="77777777" w:rsidR="005F3706" w:rsidRPr="008463BA" w:rsidRDefault="005F3706" w:rsidP="007A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0F9CAF01" w14:textId="77777777" w:rsidR="005F3706" w:rsidRPr="008463BA" w:rsidRDefault="005F3706" w:rsidP="007A4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08F26713" w14:textId="34C09C3A" w:rsidR="005F3706" w:rsidRPr="008463BA" w:rsidRDefault="005F3706" w:rsidP="00C4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Ieviestas, FKTK noslēdzot saprašanās memorandus ar ārvalstu uzraudzības iestādēm, saskaņā ar pamatnostādnēs noteikto paraugu</w:t>
            </w:r>
          </w:p>
        </w:tc>
      </w:tr>
      <w:tr w:rsidR="005F3706" w:rsidRPr="008463BA" w14:paraId="2C3270F7" w14:textId="77777777" w:rsidTr="005F370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C1E31B" w14:textId="77777777" w:rsidR="005F3706" w:rsidRPr="008463BA" w:rsidRDefault="005F3706" w:rsidP="00C4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3323430" w14:textId="77777777" w:rsidR="005F3706" w:rsidRPr="008463BA" w:rsidRDefault="004404D4" w:rsidP="00C4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hyperlink r:id="rId9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galvenajiem jēdzieniem Direktīvā par alternatīvo ieguldījumu fondu pārvaldniekiem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2808E3D0" w14:textId="77777777" w:rsidR="005F3706" w:rsidRPr="008463BA" w:rsidRDefault="005F3706" w:rsidP="007A4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78187C40" w14:textId="77777777" w:rsidR="005F3706" w:rsidRPr="008463BA" w:rsidRDefault="005F3706" w:rsidP="00450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18.08.2020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FKTK noteikumi Nr.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134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5E638D59" w14:textId="27277758" w:rsidR="005F3706" w:rsidRPr="008463BA" w:rsidRDefault="005F3706" w:rsidP="00C4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267D1D9C" w14:textId="77777777" w:rsidTr="005F370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248135" w14:textId="77777777" w:rsidR="005F3706" w:rsidRPr="008463BA" w:rsidRDefault="005F3706" w:rsidP="00C4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17DA10C" w14:textId="77777777" w:rsidR="005F3706" w:rsidRPr="008463BA" w:rsidRDefault="004404D4" w:rsidP="00C41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0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saprātīgai atalgojuma politikai saskaņā ar AIFPD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2B983E8C" w14:textId="77777777" w:rsidR="005F3706" w:rsidRPr="008463BA" w:rsidRDefault="005F3706" w:rsidP="007A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0AA45E00" w14:textId="77777777" w:rsidR="005F3706" w:rsidRPr="008463BA" w:rsidRDefault="005F3706" w:rsidP="007A4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05.12.2017. FKTK noteikumi Nr. 199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5EB6D102" w14:textId="78088AD0" w:rsidR="005F3706" w:rsidRPr="008463BA" w:rsidRDefault="005F3706" w:rsidP="00C4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253993" w14:paraId="553774E3" w14:textId="77777777" w:rsidTr="005F3706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E5A205" w14:textId="77777777" w:rsidR="005F3706" w:rsidRPr="008463BA" w:rsidRDefault="005F3706" w:rsidP="00C4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bookmarkStart w:id="0" w:name="_Hlk78193202"/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0C856413" w14:textId="77777777" w:rsidR="005F3706" w:rsidRPr="00253993" w:rsidRDefault="004404D4" w:rsidP="002539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hyperlink r:id="rId11" w:history="1">
              <w:r w:rsidR="005F370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lv-LV" w:eastAsia="lv-LV"/>
                </w:rPr>
                <w:t>Pamatnostādnes par PVKIU un AIF likviditātes stresa testiem</w:t>
              </w:r>
            </w:hyperlink>
          </w:p>
          <w:p w14:paraId="745CE09A" w14:textId="77777777" w:rsidR="005F3706" w:rsidRDefault="005F3706" w:rsidP="00C411CF">
            <w:pPr>
              <w:jc w:val="center"/>
              <w:rPr>
                <w:rStyle w:val="Hipersaite"/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2A215A86" w14:textId="77777777" w:rsidR="005F3706" w:rsidRPr="008463BA" w:rsidRDefault="005F3706" w:rsidP="007A4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5C9A93C8" w14:textId="77777777" w:rsidR="005F3706" w:rsidRPr="008463BA" w:rsidRDefault="005F3706" w:rsidP="007A4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312435FA" w14:textId="086DE9B7" w:rsidR="005F3706" w:rsidRPr="008463BA" w:rsidRDefault="005F3706" w:rsidP="00C41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bookmarkEnd w:id="0"/>
      <w:tr w:rsidR="005F3706" w:rsidRPr="00253993" w14:paraId="0E7E67A5" w14:textId="77777777" w:rsidTr="005F3706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74A292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68D70FC" w14:textId="14CFB870" w:rsidR="005F3706" w:rsidRDefault="004404D4" w:rsidP="00DC069F">
            <w:pPr>
              <w:autoSpaceDE w:val="0"/>
              <w:autoSpaceDN w:val="0"/>
              <w:adjustRightInd w:val="0"/>
              <w:jc w:val="center"/>
            </w:pPr>
            <w:hyperlink r:id="rId12" w:history="1">
              <w:r w:rsidR="005F3706" w:rsidRPr="005310D2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val="lv-LV"/>
                </w:rPr>
                <w:t>Pamatnostādnes par Direktīvas 2011/61/ES 25. pantu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5B346B5B" w14:textId="48930935" w:rsidR="005F3706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05076CE9" w14:textId="4BD4FF3C" w:rsidR="005F3706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08E9DAE0" w14:textId="05CCD268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Attiecas uz kompetentajām iestādēm</w:t>
            </w:r>
          </w:p>
        </w:tc>
      </w:tr>
      <w:tr w:rsidR="00FF315F" w:rsidRPr="0094048A" w14:paraId="39B82E8F" w14:textId="77777777" w:rsidTr="005F3706"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B8C03BA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Regula Nr. 909/2014 [CSDR]</w:t>
            </w:r>
          </w:p>
          <w:p w14:paraId="5577D98D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 centrālajiem vērtspapīru depozitārijiem)</w:t>
            </w: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71E1CE09" w14:textId="77777777" w:rsidR="00FF315F" w:rsidRPr="008463BA" w:rsidRDefault="004404D4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hyperlink r:id="rId13" w:history="1">
              <w:r w:rsidR="00FF315F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Centrālā vērtspapīru depozitārija (CVD) piekļuve centrālo darījumu partneru (CDP) informācijai par darījumiem un tirdzniecības vietām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EAA2AF9" w14:textId="77777777" w:rsidR="00FF315F" w:rsidRPr="008463BA" w:rsidRDefault="00FF315F" w:rsidP="00DC06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613F8E76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5E493662" w14:textId="1A479A11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Attiecas uz CVD, CDP, tirdzniecības vietām un kompetentajām iestādēm</w:t>
            </w:r>
          </w:p>
        </w:tc>
      </w:tr>
      <w:tr w:rsidR="00FF315F" w:rsidRPr="008463BA" w14:paraId="254300F5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69DEFF6F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2AFA3D36" w14:textId="77777777" w:rsidR="00FF315F" w:rsidRPr="008463BA" w:rsidRDefault="004404D4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hyperlink r:id="rId14" w:history="1">
              <w:r w:rsidR="00FF315F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“CVD noteikumi un procedūras dalībnieka saistību neizpildes gadījumā”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D0B0C12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0BDAE503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174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01.09.2020. FKTK noteikumi Nr.142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679048BA" w14:textId="1707EFF3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FF315F" w:rsidRPr="008463BA" w14:paraId="572D5C86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1688745F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0BE5314A" w14:textId="77777777" w:rsidR="00FF315F" w:rsidRPr="008463BA" w:rsidRDefault="004404D4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hyperlink r:id="rId15" w:history="1">
              <w:r w:rsidR="00FF315F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"Sadarbība starp iestādēm saskaņā ar Regulas (ES) Nr. 909/2014 17. un 23. pantu"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2A09003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14C1C2C5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6859C6D2" w14:textId="06D1FB3D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Attiecas uz kompetentajām iestādēm</w:t>
            </w:r>
          </w:p>
        </w:tc>
      </w:tr>
      <w:tr w:rsidR="00FF315F" w:rsidRPr="008463BA" w14:paraId="06A79272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024372A6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70920858" w14:textId="77777777" w:rsidR="00FF315F" w:rsidRPr="008463BA" w:rsidRDefault="004404D4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hyperlink r:id="rId16" w:history="1">
              <w:r w:rsidR="00FF315F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procesu, ko izmanto rādītāju aprēķināšanai, lai noteiktu CVD būtisko nozīmi uzņēmējai dalībvalstij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2D570119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7DD1E07D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779E1564" w14:textId="57172248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Attiecas uz CVD</w:t>
            </w:r>
          </w:p>
        </w:tc>
      </w:tr>
      <w:tr w:rsidR="00FF315F" w:rsidRPr="008463BA" w14:paraId="5A3F1693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65A9CF4B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3E824CB5" w14:textId="77777777" w:rsidR="00FF315F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17" w:history="1">
              <w:r w:rsidR="00FF315F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procesu, ko izmanto rādītāju aprēķināšanai, lai noteiktu nozīmīgākās valūtas, kurās tiek veikti norēķini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27C59B24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62DD7052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642AD520" w14:textId="49476569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Attiecas uz CVD</w:t>
            </w:r>
          </w:p>
        </w:tc>
      </w:tr>
      <w:tr w:rsidR="00FF315F" w:rsidRPr="0094048A" w14:paraId="2DC2251E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4151D919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7C0269CC" w14:textId="77777777" w:rsidR="00FF315F" w:rsidRPr="008463BA" w:rsidRDefault="004404D4" w:rsidP="00DC06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hyperlink r:id="rId18" w:history="1">
              <w:r w:rsidR="00FF315F" w:rsidRPr="005D742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 xml:space="preserve">Pamatnostādnes par ziņošanu par </w:t>
              </w:r>
              <w:proofErr w:type="spellStart"/>
              <w:r w:rsidR="00FF315F" w:rsidRPr="005D742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internalizētiem</w:t>
              </w:r>
              <w:proofErr w:type="spellEnd"/>
              <w:r w:rsidR="00FF315F" w:rsidRPr="005D742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 xml:space="preserve"> norēķiniem saskaņā ar CSDR 9. pantu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03A1AF86" w14:textId="77777777" w:rsidR="00FF315F" w:rsidRPr="003E5AE9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3E5A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6CD75742" w14:textId="77777777" w:rsidR="00FF315F" w:rsidRPr="003E5AE9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E5AE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1C3B65EE" w14:textId="4CED3C3C" w:rsidR="00FF315F" w:rsidRPr="00B33DE4" w:rsidRDefault="00FF315F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33D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Atsauce uz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pamatnostādnēm </w:t>
            </w:r>
            <w:r w:rsidRPr="004174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01.09.2020. FKTK noteikumos Nr.143</w:t>
            </w:r>
          </w:p>
        </w:tc>
      </w:tr>
      <w:tr w:rsidR="00FF315F" w:rsidRPr="00026F5D" w14:paraId="7F7F1B85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5571CAF7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09843F80" w14:textId="1DD2B45F" w:rsidR="00FF315F" w:rsidRPr="0053794A" w:rsidRDefault="004404D4" w:rsidP="0053794A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  <w:hyperlink r:id="rId19" w:history="1">
              <w:r w:rsidR="00FF315F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standartizētām procedūrām un ziņošanas protokoliem saskaņā ar Regulas (ES) Nr. 909/2014 6. panta 2. punktu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3184B5D7" w14:textId="3A9D6D81" w:rsidR="00FF315F" w:rsidRPr="003E5AE9" w:rsidRDefault="00FF315F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A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4B40D69E" w14:textId="77777777" w:rsidR="00FF315F" w:rsidRPr="003E5AE9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11763941" w14:textId="30565F96" w:rsidR="00FF315F" w:rsidRPr="00B33DE4" w:rsidRDefault="00FF315F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Plānotais piemērošanas sākuma datums 01.02.2022.</w:t>
            </w:r>
          </w:p>
        </w:tc>
      </w:tr>
      <w:tr w:rsidR="00FF315F" w:rsidRPr="00026F5D" w14:paraId="6BF2CF18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4851189A" w14:textId="77777777" w:rsidR="00FF315F" w:rsidRPr="008463BA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6A299599" w14:textId="5A7EA24C" w:rsidR="00FF315F" w:rsidRPr="0094048A" w:rsidRDefault="004404D4" w:rsidP="00537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0" w:history="1">
              <w:r w:rsidR="0094048A" w:rsidRPr="0094048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attiecībā uz ziņošanu par norēķinu neizpildi saskaņā ar CVDR 7. pantu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85CFDA0" w14:textId="3F18F0F4" w:rsidR="00FF315F" w:rsidRPr="003E5AE9" w:rsidRDefault="00FF315F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E5A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027AC450" w14:textId="77777777" w:rsidR="00FF315F" w:rsidRPr="003E5AE9" w:rsidRDefault="00FF315F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3AC9D4BB" w14:textId="4487DE36" w:rsidR="00FF315F" w:rsidRDefault="00FF315F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Attiecas uz kompetentajām iestādēm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CVD</w:t>
            </w:r>
          </w:p>
        </w:tc>
      </w:tr>
      <w:tr w:rsidR="005F3706" w:rsidRPr="008463BA" w14:paraId="2F976855" w14:textId="77777777" w:rsidTr="005F3706">
        <w:tc>
          <w:tcPr>
            <w:tcW w:w="1951" w:type="dxa"/>
            <w:vMerge w:val="restart"/>
            <w:shd w:val="clear" w:color="auto" w:fill="FDE9D9" w:themeFill="accent6" w:themeFillTint="33"/>
            <w:vAlign w:val="center"/>
          </w:tcPr>
          <w:p w14:paraId="0C16B895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Regula Nr. 1060/2009 [CRA]</w:t>
            </w:r>
          </w:p>
          <w:p w14:paraId="5EB3E6F2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 kredītreitingu aģentūrām)</w:t>
            </w: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36AFC24F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1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kredītreitingu aģentūru metodiku izvērtēšanu un pārskatīšanu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0FBE15DC" w14:textId="77777777" w:rsidR="005F3706" w:rsidRPr="008463BA" w:rsidRDefault="005F3706" w:rsidP="00DC069F">
            <w:pPr>
              <w:jc w:val="center"/>
              <w:rPr>
                <w:highlight w:val="cyan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0A596581" w14:textId="77777777" w:rsidR="005F3706" w:rsidRPr="008463BA" w:rsidRDefault="005F3706" w:rsidP="00DC069F">
            <w:pPr>
              <w:jc w:val="center"/>
              <w:rPr>
                <w:highlight w:val="cyan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2297AB68" w14:textId="00A2697A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 kamēr nav attiecīgi tirgus dalībnieki</w:t>
            </w:r>
          </w:p>
        </w:tc>
      </w:tr>
      <w:tr w:rsidR="005F3706" w:rsidRPr="008463BA" w14:paraId="01F700BD" w14:textId="77777777" w:rsidTr="005F3706"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5E8A5D84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7D328C95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2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kredītreitingu aģentūru sniegtu, EVTI iesniedzamu periodisku informāciju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7482518" w14:textId="77777777" w:rsidR="005F3706" w:rsidRPr="008463BA" w:rsidRDefault="005F3706" w:rsidP="00DC069F">
            <w:pPr>
              <w:jc w:val="center"/>
              <w:rPr>
                <w:highlight w:val="cyan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45C3D206" w14:textId="77777777" w:rsidR="005F3706" w:rsidRPr="008463BA" w:rsidRDefault="005F3706" w:rsidP="00DC069F">
            <w:pPr>
              <w:jc w:val="center"/>
              <w:rPr>
                <w:highlight w:val="cyan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045D14E3" w14:textId="4ADAD940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 kamēr nav attiecīgi tirgus dalībnieki</w:t>
            </w:r>
          </w:p>
        </w:tc>
      </w:tr>
      <w:tr w:rsidR="005F3706" w:rsidRPr="008463BA" w14:paraId="21D514CF" w14:textId="77777777" w:rsidTr="005F3706"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7BE415F1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782AC319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3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un ieteikumi par KA regulas darbības jomu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B8B934A" w14:textId="77777777" w:rsidR="005F3706" w:rsidRPr="008463BA" w:rsidRDefault="005F3706" w:rsidP="00DC069F">
            <w:pPr>
              <w:jc w:val="center"/>
              <w:rPr>
                <w:highlight w:val="cyan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549E4570" w14:textId="77777777" w:rsidR="005F3706" w:rsidRPr="008463BA" w:rsidRDefault="005F3706" w:rsidP="00DC069F">
            <w:pPr>
              <w:jc w:val="center"/>
              <w:rPr>
                <w:highlight w:val="cyan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56DAC56F" w14:textId="06B8EA03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 kamēr nav attiecīgi tirgus dalībnieki</w:t>
            </w:r>
          </w:p>
        </w:tc>
      </w:tr>
      <w:tr w:rsidR="005F3706" w:rsidRPr="008463BA" w14:paraId="16B91E03" w14:textId="77777777" w:rsidTr="005F3706"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068C08BE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453815B3" w14:textId="77777777" w:rsidR="005F3706" w:rsidRPr="008463BA" w:rsidRDefault="005F3706" w:rsidP="00DC069F">
            <w:pPr>
              <w:jc w:val="center"/>
              <w:rPr>
                <w:rStyle w:val="Hipersaite"/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fldChar w:fldCharType="begin"/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instrText xml:space="preserve"> HYPERLINK "https://www.esma.europa.eu/sites/default/files/library/2015/11/2011-188_lv.pdf" </w:instrTex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fldChar w:fldCharType="separate"/>
            </w:r>
            <w:r w:rsidRPr="008463BA">
              <w:rPr>
                <w:rStyle w:val="Hipersaite"/>
                <w:rFonts w:ascii="Times New Roman" w:hAnsi="Times New Roman" w:cs="Times New Roman"/>
                <w:sz w:val="24"/>
                <w:szCs w:val="24"/>
                <w:lang w:val="lv-LV"/>
              </w:rPr>
              <w:t>Pamatnostādnes un ieteikumi "Sadarbība, ietverot deleģējumu, starp EVTI, kompetentajām iestādēm un nozares</w:t>
            </w:r>
          </w:p>
          <w:p w14:paraId="13A5421B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Style w:val="Hipersaite"/>
                <w:rFonts w:ascii="Times New Roman" w:hAnsi="Times New Roman" w:cs="Times New Roman"/>
                <w:sz w:val="24"/>
                <w:szCs w:val="24"/>
                <w:lang w:val="lv-LV"/>
              </w:rPr>
              <w:t>kompetentajām iestādēm saskaņā ar Regulu (ES) Nr. 513/2011 par kredītreitingu aģentūrām"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45E5C3A0" w14:textId="77777777" w:rsidR="005F3706" w:rsidRPr="008463BA" w:rsidRDefault="005F3706" w:rsidP="00DC069F">
            <w:pPr>
              <w:jc w:val="center"/>
              <w:rPr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1A8EA559" w14:textId="77777777" w:rsidR="005F3706" w:rsidRPr="008463BA" w:rsidRDefault="005F3706" w:rsidP="00DC069F">
            <w:pPr>
              <w:jc w:val="center"/>
              <w:rPr>
                <w:lang w:val="lv-LV"/>
              </w:rPr>
            </w:pPr>
            <w:r w:rsidRPr="008463BA">
              <w:rPr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6D6A0119" w14:textId="4661FE9F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Attiecas uz kompetentajām iestādēm</w:t>
            </w:r>
          </w:p>
        </w:tc>
      </w:tr>
      <w:tr w:rsidR="005F3706" w:rsidRPr="008463BA" w14:paraId="4878E4BD" w14:textId="77777777" w:rsidTr="005F3706"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56C10B5E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46DDEA6B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4" w:history="1">
              <w:r w:rsidR="005F3706" w:rsidRPr="003A3B0D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apstiprinājuma kārtības piemērošanu saskaņā ar Kredītreitingu aģentūru regulas 4. panta 3. punktu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4A76D978" w14:textId="77777777" w:rsidR="005F3706" w:rsidRPr="008463BA" w:rsidRDefault="005F3706" w:rsidP="00DC069F">
            <w:pPr>
              <w:jc w:val="center"/>
              <w:rPr>
                <w:highlight w:val="cyan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4C81BF30" w14:textId="77777777" w:rsidR="005F3706" w:rsidRPr="008463BA" w:rsidRDefault="005F3706" w:rsidP="00DC069F">
            <w:pPr>
              <w:jc w:val="center"/>
              <w:rPr>
                <w:highlight w:val="cyan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2890722D" w14:textId="064AB03E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 kamēr nav attiecīgi tirgus dalībnieki</w:t>
            </w:r>
          </w:p>
        </w:tc>
      </w:tr>
      <w:tr w:rsidR="005F3706" w:rsidRPr="008463BA" w14:paraId="3079B491" w14:textId="77777777" w:rsidTr="005F3706">
        <w:trPr>
          <w:trHeight w:val="276"/>
        </w:trPr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60EC0FEF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Regula Nr. 648/2012 [EMIR]</w:t>
            </w:r>
          </w:p>
          <w:p w14:paraId="5B2C2588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(par </w:t>
            </w:r>
            <w:proofErr w:type="spellStart"/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ārpusbiržas</w:t>
            </w:r>
            <w:proofErr w:type="spellEnd"/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atvasinātajiem instrumentiem, centrālajiem darījumu partneriem un darījumu reģistriem)</w:t>
            </w: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47A8A6DA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5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un ieteikumi par CPSS-IOSCO Finanšu tirgu infrastruktūru principu īstenošanu attiecībā uz centrālajiem darījumu partneriem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2C15C7DF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5AA18536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0180423C" w14:textId="1A4C87EF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 kamēr nav attiecīgi tirgus dalībnieki</w:t>
            </w:r>
          </w:p>
        </w:tc>
      </w:tr>
      <w:tr w:rsidR="005F3706" w:rsidRPr="008463BA" w14:paraId="5F60007A" w14:textId="77777777" w:rsidTr="005F3706">
        <w:trPr>
          <w:trHeight w:val="276"/>
        </w:trPr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4810DE11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4A240AC7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6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un ieteikumi par rakstveida vienošanos starp CCP kolēģiju dalībniekiem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63BE594B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18748CC2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4A48A147" w14:textId="0F3C4133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2E67F776" w14:textId="77777777" w:rsidTr="005F3706">
        <w:trPr>
          <w:trHeight w:val="276"/>
        </w:trPr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00FF2071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568C338A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7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 xml:space="preserve">Pamatnostādnes un ieteikumi saskaņotiem, efektīviem un derīgiem </w:t>
              </w:r>
              <w:proofErr w:type="spellStart"/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sadarbspējas</w:t>
              </w:r>
              <w:proofErr w:type="spellEnd"/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 xml:space="preserve"> vienošanās novērtējumiem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BA22094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75C8C533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324223E6" w14:textId="66BEC531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47821AFC" w14:textId="77777777" w:rsidTr="005F3706">
        <w:trPr>
          <w:trHeight w:val="276"/>
        </w:trPr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658D3997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75E739E2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28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datu nodošanu starp darījumu reģistriem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2A47FBF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3BC5AAEA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293A9565" w14:textId="6F79598F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 kamēr nav attiecīgi tirgus dalībnieki</w:t>
            </w:r>
          </w:p>
        </w:tc>
      </w:tr>
      <w:tr w:rsidR="005F3706" w:rsidRPr="008463BA" w14:paraId="3E6CE547" w14:textId="77777777" w:rsidTr="005F3706">
        <w:trPr>
          <w:trHeight w:val="276"/>
        </w:trPr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65520079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15E91460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hyperlink r:id="rId29" w:history="1">
              <w:r w:rsidR="005F3706" w:rsidRPr="001D02D0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CCP interešu konfliktu pārvaldību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29BF685D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2F13882F" w14:textId="77777777" w:rsidR="005F3706" w:rsidRPr="008463BA" w:rsidRDefault="005F3706" w:rsidP="00DC069F">
            <w:pPr>
              <w:jc w:val="center"/>
              <w:rPr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1B5C4918" w14:textId="12A5F1CE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 kamēr nav attiecīgi tirgus dalībnieki</w:t>
            </w:r>
          </w:p>
        </w:tc>
      </w:tr>
      <w:tr w:rsidR="005F3706" w:rsidRPr="008463BA" w14:paraId="126B8FBB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72A49A2C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2FBB91D5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hyperlink r:id="rId30" w:history="1">
              <w:r w:rsidR="005F3706" w:rsidRPr="001D02D0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pozīciju aprēķināšanu, ko saskaņā ar EMIR veic darījumu reģistri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9D657FE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3EFA8D48" w14:textId="77777777" w:rsidR="005F3706" w:rsidRPr="008463BA" w:rsidRDefault="005F3706" w:rsidP="00DC069F">
            <w:pPr>
              <w:jc w:val="center"/>
              <w:rPr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2D0ACD1D" w14:textId="6685809B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 kamēr nav attiecīgi tirgus dalībnieki</w:t>
            </w:r>
          </w:p>
        </w:tc>
      </w:tr>
      <w:tr w:rsidR="005F3706" w:rsidRPr="008463BA" w14:paraId="138BCBA1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4375A345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13055999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172D5C">
              <w:rPr>
                <w:rStyle w:val="Hipersaite"/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Pamatnostādnes par EMIR </w:t>
            </w:r>
            <w:proofErr w:type="spellStart"/>
            <w:r w:rsidRPr="00172D5C">
              <w:rPr>
                <w:rStyle w:val="Hipersaite"/>
                <w:rFonts w:ascii="Times New Roman" w:hAnsi="Times New Roman" w:cs="Times New Roman"/>
                <w:sz w:val="24"/>
                <w:szCs w:val="24"/>
                <w:lang w:val="lv-LV"/>
              </w:rPr>
              <w:t>pretprocikliskuma</w:t>
            </w:r>
            <w:proofErr w:type="spellEnd"/>
            <w:r w:rsidRPr="00172D5C">
              <w:rPr>
                <w:rStyle w:val="Hipersaite"/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maržas pasākumiem centrālajiem darījumu partneriem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F4AF9A7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0A5868EB" w14:textId="77777777" w:rsidR="005F3706" w:rsidRPr="008463BA" w:rsidRDefault="005F3706" w:rsidP="00DC069F">
            <w:pPr>
              <w:jc w:val="center"/>
              <w:rPr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7CBDAC66" w14:textId="626E67D9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 kamēr nav attiecīgi tirgus dalībnieki</w:t>
            </w:r>
          </w:p>
        </w:tc>
      </w:tr>
      <w:tr w:rsidR="005F3706" w:rsidRPr="008463BA" w14:paraId="460EE2F7" w14:textId="77777777" w:rsidTr="005F3706">
        <w:tc>
          <w:tcPr>
            <w:tcW w:w="1951" w:type="dxa"/>
            <w:shd w:val="clear" w:color="auto" w:fill="FDE9D9" w:themeFill="accent6" w:themeFillTint="33"/>
            <w:vAlign w:val="center"/>
          </w:tcPr>
          <w:p w14:paraId="750F9BA7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Direktīva Nr. 2002/87/EK [FICOD]</w:t>
            </w:r>
          </w:p>
          <w:p w14:paraId="72D35066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(par papildu uzraudzību kredītiestādēm, </w:t>
            </w: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apdrošināšanas uzņēmumiem un ieguldījumu sabiedrībām finanšu konglomerātos)</w:t>
            </w: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2FC04747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1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Kopīgās pamatnostādnes par uzraudzības prakses konverģenci attiecībā uz uzraudzības koordinēšanas pasākumu konsekvenci finanšu konglomerātiem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7E7B29C2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55FDF5CE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0ACBC345" w14:textId="5A0AA042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 kamēr nav attiecīgi tirgus dalībnieki</w:t>
            </w:r>
          </w:p>
        </w:tc>
      </w:tr>
      <w:tr w:rsidR="005F3706" w:rsidRPr="008463BA" w14:paraId="21C81B83" w14:textId="77777777" w:rsidTr="005F3706"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442600B6" w14:textId="77777777" w:rsidR="005F3706" w:rsidRPr="008463BA" w:rsidRDefault="005F3706" w:rsidP="00DC069F">
            <w:pPr>
              <w:pStyle w:val="Default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8463BA">
              <w:rPr>
                <w:rFonts w:ascii="Times New Roman" w:hAnsi="Times New Roman" w:cs="Times New Roman"/>
                <w:lang w:val="lv-LV"/>
              </w:rPr>
              <w:t>Regula Nr. 596/2014 [MAR]</w:t>
            </w:r>
          </w:p>
          <w:p w14:paraId="00F61DF0" w14:textId="77777777" w:rsidR="005F3706" w:rsidRPr="008463BA" w:rsidRDefault="005F3706" w:rsidP="00DC069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 tirgus ļaunprātīgu izmantošanu)</w:t>
            </w: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7CE72F2A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2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personām, kuras saņem tirgus izzināšanas informāciju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C095A31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1DD5D974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3003EDD7" w14:textId="40360718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384E1A02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14D4323B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2B97B968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3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"Iekšējās informācijas atklāšanas atlikšana"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6B0988E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6FD96E41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03679865" w14:textId="66ACB37B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2E1AF2DA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274884DC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241DC65D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4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Informācija, kas attiecas uz preču atvasināto instrumentu tirgiem vai saistītiem tūlītēju darījumu tirgiem, iekšējas informācijas attiecībā uz preču atvasinātajiem instrumentiem definēšanas nolūkā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254F9A7B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79E6191A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0B5DF209" w14:textId="4AC4561A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19E2A5F7" w14:textId="77777777" w:rsidTr="005F3706">
        <w:trPr>
          <w:trHeight w:val="848"/>
        </w:trPr>
        <w:tc>
          <w:tcPr>
            <w:tcW w:w="1951" w:type="dxa"/>
            <w:vMerge w:val="restart"/>
            <w:shd w:val="clear" w:color="auto" w:fill="FDE9D9" w:themeFill="accent6" w:themeFillTint="33"/>
            <w:vAlign w:val="center"/>
          </w:tcPr>
          <w:p w14:paraId="5AE355C8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Direktīva Nr. 2004/39/EK [</w:t>
            </w:r>
            <w:proofErr w:type="spellStart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MiFID</w:t>
            </w:r>
            <w:proofErr w:type="spellEnd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]</w:t>
            </w:r>
          </w:p>
          <w:p w14:paraId="5E5EC986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(kas attiecas uz finanšu instrumentu tirgiem)</w:t>
            </w: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7565FAC9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5" w:history="1">
              <w:r w:rsidR="005F3706" w:rsidRPr="00B01B24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"Atlīdzības politika un prakse (FITD)"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6452DA71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599310C5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79F728BC" w14:textId="3EEA62A8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2ECB4DB0" w14:textId="77777777" w:rsidTr="005F3706">
        <w:trPr>
          <w:trHeight w:val="848"/>
        </w:trPr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2705BD56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223D6675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36" w:history="1">
              <w:r w:rsidR="005F3706" w:rsidRPr="00B01B24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 xml:space="preserve">Pamatnostādnes par noteiktiem FITD darbības atbilstības kontroles funkcijas </w:t>
              </w:r>
              <w:r w:rsidR="005F3706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prasību aspektiem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289064A8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467245D1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28ED3307" w14:textId="2AADE369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880155" w:rsidRPr="008463BA" w14:paraId="51F8F1C9" w14:textId="77777777" w:rsidTr="005F3706"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0D8399B9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Direktīva Nr. 2014/65/ES [</w:t>
            </w:r>
            <w:proofErr w:type="spellStart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MiFID</w:t>
            </w:r>
            <w:proofErr w:type="spellEnd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II]</w:t>
            </w:r>
          </w:p>
          <w:p w14:paraId="0CAD13AB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</w:t>
            </w:r>
          </w:p>
          <w:p w14:paraId="66D84935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Regula Nr. 600/2014 [</w:t>
            </w:r>
            <w:proofErr w:type="spellStart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MiFIR</w:t>
            </w:r>
            <w:proofErr w:type="spellEnd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]</w:t>
            </w:r>
          </w:p>
          <w:p w14:paraId="0C9F4CDC" w14:textId="127D580A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 finanšu instrumentu tirgiem)</w:t>
            </w: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23394124" w14:textId="77777777" w:rsidR="00241175" w:rsidRDefault="004404D4" w:rsidP="00241175">
            <w:pPr>
              <w:jc w:val="center"/>
              <w:rPr>
                <w:rStyle w:val="Hipersaite"/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hyperlink r:id="rId37" w:history="1">
              <w:proofErr w:type="spellStart"/>
              <w:r w:rsidR="00241175">
                <w:rPr>
                  <w:rStyle w:val="Hipersaite"/>
                  <w:rFonts w:ascii="Times New Roman" w:hAnsi="Times New Roman" w:cs="Times New Roman"/>
                  <w:iCs/>
                  <w:sz w:val="24"/>
                  <w:szCs w:val="24"/>
                </w:rPr>
                <w:t>Pamatnostādnes</w:t>
              </w:r>
              <w:proofErr w:type="spellEnd"/>
            </w:hyperlink>
          </w:p>
          <w:p w14:paraId="565457A8" w14:textId="6684D579" w:rsidR="00880155" w:rsidRDefault="004404D4" w:rsidP="00241175">
            <w:pPr>
              <w:jc w:val="center"/>
            </w:pPr>
            <w:hyperlink r:id="rId38" w:history="1">
              <w:r w:rsidR="00241175">
                <w:rPr>
                  <w:rStyle w:val="Hipersaite"/>
                  <w:rFonts w:ascii="Times New Roman" w:hAnsi="Times New Roman" w:cs="Times New Roman"/>
                  <w:iCs/>
                  <w:sz w:val="24"/>
                  <w:szCs w:val="24"/>
                  <w:lang w:val="lv-LV"/>
                </w:rPr>
                <w:t>"Par FITD II / FITR noteiktajiem pienākumiem attiecībā uz tirgus datiem'</w:t>
              </w:r>
            </w:hyperlink>
            <w:r w:rsidR="00241175">
              <w:rPr>
                <w:rStyle w:val="Hipersaite"/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'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CB3A9A9" w14:textId="23EFA54C" w:rsidR="00880155" w:rsidRPr="008463BA" w:rsidRDefault="00241175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1380AC3D" w14:textId="7BAE9D68" w:rsidR="00880155" w:rsidRDefault="0053794A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4A5C4CBE" w14:textId="723680AC" w:rsidR="00880155" w:rsidRPr="008463BA" w:rsidRDefault="0053794A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Plānotais piemērošanas sākuma datums 01.02.2022.</w:t>
            </w:r>
          </w:p>
        </w:tc>
      </w:tr>
      <w:tr w:rsidR="00880155" w:rsidRPr="008463BA" w14:paraId="1EEC106E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46E72C9F" w14:textId="17395521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2DA7A34F" w14:textId="77777777" w:rsidR="00880155" w:rsidRDefault="004404D4" w:rsidP="00DC069F">
            <w:pPr>
              <w:jc w:val="center"/>
            </w:pPr>
            <w:hyperlink r:id="rId39" w:history="1">
              <w:r w:rsidR="00880155" w:rsidRPr="00113165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 xml:space="preserve">Pamatnostādnes par </w:t>
              </w:r>
              <w:proofErr w:type="spellStart"/>
              <w:r w:rsidR="00880155" w:rsidRPr="00113165">
                <w:rPr>
                  <w:rStyle w:val="Hipersaite"/>
                  <w:rFonts w:ascii="Times New Roman" w:hAnsi="Times New Roman" w:cs="Times New Roman"/>
                  <w:i/>
                  <w:sz w:val="24"/>
                  <w:szCs w:val="24"/>
                  <w:lang w:val="lv-LV"/>
                </w:rPr>
                <w:t>MiFID</w:t>
              </w:r>
              <w:proofErr w:type="spellEnd"/>
              <w:r w:rsidR="00880155" w:rsidRPr="00113165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 xml:space="preserve"> II 1. pielikuma C iedaļas 6. un 7. punkta piemērošanu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1330D57C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537AA9F9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23D78A94" w14:textId="705E4D69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880155" w:rsidRPr="008463BA" w14:paraId="28FBD47D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613F1C6F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4D32AB4F" w14:textId="77777777" w:rsidR="00880155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0" w:history="1">
              <w:r w:rsidR="00880155" w:rsidRPr="00B408AB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"Kombinētās pārdošanas prakses pamatnostādnes"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2BE2DF80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39A4F742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B55E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04.08.2020. FKTK noteikumi Nr.117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08AE7CF1" w14:textId="00EC1066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880155" w:rsidRPr="008463BA" w14:paraId="69699C31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601375F5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65A11AD5" w14:textId="77777777" w:rsidR="00880155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1" w:history="1">
              <w:r w:rsidR="00880155" w:rsidRPr="00B408AB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kompleksajiem parāda instrumentiem un strukturētiem noguldījumiem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08F4D9E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44A1AA59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0910ED3B" w14:textId="0BDF5A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880155" w:rsidRPr="008463BA" w14:paraId="1B050A18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1399E0A4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114BA915" w14:textId="77777777" w:rsidR="00880155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2" w:history="1">
              <w:r w:rsidR="00880155" w:rsidRPr="00B408AB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"Ziņošana par darījumiem, rīkojumu uzskaite un pulksteņu sinhronizācija saskaņā ar FITD II"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1EA23245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4F6F37EA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78C0E458" w14:textId="59C3947F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880155" w:rsidRPr="008463BA" w14:paraId="29C40290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2B60F397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416DBC86" w14:textId="77777777" w:rsidR="00880155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3" w:history="1">
              <w:r w:rsidR="00880155" w:rsidRPr="003F4516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 xml:space="preserve">Pamatnostādnes "Bloķēšanas sistēmu kalibrēšana un tirdzniecības apturēšanas publicēšana saskaņā ar </w:t>
              </w:r>
              <w:proofErr w:type="spellStart"/>
              <w:r w:rsidR="00880155" w:rsidRPr="00113165">
                <w:rPr>
                  <w:rStyle w:val="Hipersaite"/>
                  <w:rFonts w:ascii="Times New Roman" w:hAnsi="Times New Roman" w:cs="Times New Roman"/>
                  <w:i/>
                  <w:sz w:val="24"/>
                  <w:szCs w:val="24"/>
                  <w:lang w:val="lv-LV"/>
                </w:rPr>
                <w:t>MiFID</w:t>
              </w:r>
              <w:proofErr w:type="spellEnd"/>
              <w:r w:rsidR="00880155" w:rsidRPr="003F4516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 xml:space="preserve"> II"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29E64443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01D5812E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04.08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FKTK noteikumi Nr.122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76C97615" w14:textId="7CF76E5E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880155" w:rsidRPr="008463BA" w14:paraId="2B6534AE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5FA30D53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0D432024" w14:textId="77777777" w:rsidR="00880155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4" w:history="1">
              <w:r w:rsidR="00880155" w:rsidRPr="003F4516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regulētā tirgus organizētāju un datu ziņošanas pakalpojumu sniedzēju vadības struktūru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6334C9A3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7B2853C5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55229970" w14:textId="5440BAFF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Plānots, ka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tiks ieviestas ar 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FKTK noteikumi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em</w:t>
            </w:r>
          </w:p>
        </w:tc>
      </w:tr>
      <w:tr w:rsidR="00880155" w:rsidRPr="008463BA" w14:paraId="4DE19E8F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64A2CCA1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54911906" w14:textId="77777777" w:rsidR="00880155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5" w:history="1">
              <w:r w:rsidR="00880155" w:rsidRPr="003F4516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FITD II produktu pārvaldības prasībām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D79E188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27CDFCE5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708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04.08.2020. FKTK noteikumi Nr.118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246B928B" w14:textId="46BA194B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880155" w:rsidRPr="008463BA" w14:paraId="794678E9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638CB966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28B17C03" w14:textId="77777777" w:rsidR="00880155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6" w:history="1">
              <w:r w:rsidR="00880155" w:rsidRPr="00F204A3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zināšanu un kompetences izvērtēšanai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3BEF3F87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 un atsevišķas prasības</w:t>
            </w:r>
          </w:p>
          <w:p w14:paraId="6464FFF9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11BCDCCF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708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21.07.2020. FKTK noteikumi Nr.105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156FB384" w14:textId="1C0EDFAC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880155" w:rsidRPr="008463BA" w14:paraId="302AA8BE" w14:textId="77777777" w:rsidTr="005F3706"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14:paraId="1F99780F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5D9FA333" w14:textId="77777777" w:rsidR="00880155" w:rsidRPr="008463BA" w:rsidRDefault="004404D4" w:rsidP="00DC06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hyperlink r:id="rId47" w:history="1">
              <w:r w:rsidR="00880155" w:rsidRPr="00F65D70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vadības struktūras locekļu un peronu, kuras pilda pamatfunkcijas, piemērotības novērtēšanu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044CDDE" w14:textId="77777777" w:rsidR="00880155" w:rsidRPr="00F65D70" w:rsidRDefault="00880155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7A9A9E87" w14:textId="77777777" w:rsidR="00880155" w:rsidRPr="00F708AE" w:rsidRDefault="00880155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708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14.07.2020. FKTK noteikumi Nr.94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18C09BEE" w14:textId="13BC20A9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880155" w:rsidRPr="008463BA" w14:paraId="3BF3333D" w14:textId="77777777" w:rsidTr="005F3706">
        <w:tc>
          <w:tcPr>
            <w:tcW w:w="1951" w:type="dxa"/>
            <w:vMerge/>
            <w:shd w:val="clear" w:color="auto" w:fill="DDD9C3" w:themeFill="background2" w:themeFillShade="E6"/>
            <w:vAlign w:val="center"/>
          </w:tcPr>
          <w:p w14:paraId="6F984C19" w14:textId="77777777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40AC5B6F" w14:textId="77777777" w:rsidR="00880155" w:rsidRPr="008463BA" w:rsidRDefault="004404D4" w:rsidP="00DC06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hyperlink r:id="rId48" w:history="1">
              <w:r w:rsidR="00880155" w:rsidRPr="00113165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noteiktiem FITD II piemērotības prasību aspektiem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2F3C9102" w14:textId="77777777" w:rsidR="00880155" w:rsidRPr="008463BA" w:rsidRDefault="00880155" w:rsidP="00DC0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4193D1D8" w14:textId="77777777" w:rsidR="00880155" w:rsidRPr="008463BA" w:rsidRDefault="00880155" w:rsidP="00DC06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5EE61652" w14:textId="5FA4D145" w:rsidR="00880155" w:rsidRPr="008463BA" w:rsidRDefault="00880155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4D265B8B" w14:textId="77777777" w:rsidTr="005F3706">
        <w:tc>
          <w:tcPr>
            <w:tcW w:w="1951" w:type="dxa"/>
            <w:vMerge w:val="restart"/>
            <w:shd w:val="clear" w:color="auto" w:fill="FDE9D9" w:themeFill="accent6" w:themeFillTint="33"/>
            <w:vAlign w:val="center"/>
          </w:tcPr>
          <w:p w14:paraId="7C0170C4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Regula Nr. 2017/1131 [MMF </w:t>
            </w:r>
            <w:proofErr w:type="spellStart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Regulation</w:t>
            </w:r>
            <w:proofErr w:type="spellEnd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]</w:t>
            </w:r>
          </w:p>
          <w:p w14:paraId="5E500597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 naudas tirgus fondiem)</w:t>
            </w: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3EF34B65" w14:textId="3656D68D" w:rsidR="005F3706" w:rsidRPr="004B70CB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49" w:history="1">
              <w:r w:rsidR="005F3706" w:rsidRPr="006743D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stresa testa scenārijiem saskaņā ar NTF regulu</w:t>
              </w:r>
            </w:hyperlink>
            <w:r w:rsidR="005F3706" w:rsidRPr="006743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6A03DDB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1C71BE12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52958544" w14:textId="1B191BEB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0C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4B70C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kamēr nav attiecīgi tirgus dalībnieki</w:t>
            </w:r>
          </w:p>
        </w:tc>
      </w:tr>
      <w:tr w:rsidR="005F3706" w:rsidRPr="008463BA" w14:paraId="3229E8D2" w14:textId="77777777" w:rsidTr="005F3706"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5392B52B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3E3D0C03" w14:textId="77777777" w:rsidR="005F3706" w:rsidRDefault="004404D4" w:rsidP="00DC069F">
            <w:pPr>
              <w:jc w:val="center"/>
              <w:rPr>
                <w:rStyle w:val="Hipersaite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0" w:history="1">
              <w:r w:rsidR="005F3706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ziņošanu kompetentajām iestādēm saskaņā ar NTF regulas 37. pantu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47029D51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4A59F82E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7892C8AF" w14:textId="0E4F7BFD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B70C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4B70C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kamēr nav attiecīgi tirgus dalībnieki</w:t>
            </w:r>
          </w:p>
        </w:tc>
      </w:tr>
      <w:tr w:rsidR="005F3706" w:rsidRPr="008463BA" w14:paraId="6209FFFE" w14:textId="77777777" w:rsidTr="005F3706"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0CD594E3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78BD7EB6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1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Sūdzību izskatīšanas pamatnostādnes vērtspapīru (ESMA) un banku (EBI) nozarēs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18B2F971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ieteikumiem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25181821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20.12.2017. FKTK ieteikumi Nr.11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286266AF" w14:textId="2F92FD2C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5FE48694" w14:textId="77777777" w:rsidTr="005F3706">
        <w:tc>
          <w:tcPr>
            <w:tcW w:w="1951" w:type="dxa"/>
            <w:vMerge/>
            <w:shd w:val="clear" w:color="auto" w:fill="DAEEF3" w:themeFill="accent5" w:themeFillTint="33"/>
            <w:vAlign w:val="center"/>
          </w:tcPr>
          <w:p w14:paraId="34AEAADC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2BDD8FDE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2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sadarbības kārtību un informācijas apmaiņu starp kompetentajām iestādēm un starp kompetentajām iestādēm un ESMA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6DE4F83C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041405AB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0F2A2BF1" w14:textId="7400BBAB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Attiecas uz kompetentajām iestādēm</w:t>
            </w:r>
          </w:p>
        </w:tc>
      </w:tr>
      <w:tr w:rsidR="005F3706" w:rsidRPr="008463BA" w14:paraId="1A2DD8FD" w14:textId="77777777" w:rsidTr="005F3706">
        <w:trPr>
          <w:trHeight w:val="1335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14:paraId="5D0BC749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Regula Nr. 236/2012 [SSR]</w:t>
            </w:r>
          </w:p>
          <w:p w14:paraId="27E92E76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 īso pārdošanu un dažiem kredītriska mijmaiņas darījumu aspektiem)</w:t>
            </w: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37A830C5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3" w:history="1">
              <w:r w:rsidR="005F3706" w:rsidRPr="00F204A3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Atbrīvojums tirgus uzturētāja darbībām un primārā tirgus operācijām saskaņā ar Eiropas Parlamenta un Padomes Regulu (ES) Nr. 236/2012 par īso pārdošanu un dažiem kredītriska mijmaiņas darījumu aspektiem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4A63CF7B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721B7A52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2330976C" w14:textId="57C2720E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5F297E95" w14:textId="77777777" w:rsidTr="005F3706">
        <w:tc>
          <w:tcPr>
            <w:tcW w:w="1951" w:type="dxa"/>
            <w:vMerge w:val="restart"/>
            <w:shd w:val="clear" w:color="auto" w:fill="DAEEF3" w:themeFill="accent5" w:themeFillTint="33"/>
            <w:vAlign w:val="center"/>
          </w:tcPr>
          <w:p w14:paraId="6BEA11B6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Direktīva Nr. 2004/109/EK [</w:t>
            </w:r>
            <w:proofErr w:type="spellStart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Transparency</w:t>
            </w:r>
            <w:proofErr w:type="spellEnd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Directive</w:t>
            </w:r>
            <w:proofErr w:type="spellEnd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(TD)]</w:t>
            </w:r>
          </w:p>
          <w:p w14:paraId="0DB66EFA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 atklātības prasību saskaņošanu attiecībā uz informāciju par emitentiem)</w:t>
            </w: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2ACC2A0A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hyperlink r:id="rId54" w:history="1">
              <w:r w:rsidR="005F3706" w:rsidRPr="00F204A3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finanšu informācijas prasību izpildes uzraudzību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5758477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3867CA55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00C9F786" w14:textId="2A432E93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Attiecas uz kompetentajām iestādēm</w:t>
            </w:r>
          </w:p>
        </w:tc>
      </w:tr>
      <w:tr w:rsidR="005F3706" w:rsidRPr="008463BA" w14:paraId="5768452F" w14:textId="77777777" w:rsidTr="005F3706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EA0F18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0F51DF6B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5" w:history="1">
              <w:r w:rsidR="005F3706" w:rsidRPr="008463B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"Alternatīvie snieguma rādītāji"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2F4BB3A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11BF721F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06.07.2016. FKTK noteikumi Nr.118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7889BEC3" w14:textId="3BB23028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71217C1E" w14:textId="77777777" w:rsidTr="005F3706">
        <w:trPr>
          <w:trHeight w:val="8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331023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Direktīva Nr. 2009/65/EK [UCITS </w:t>
            </w:r>
            <w:proofErr w:type="spellStart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Directive</w:t>
            </w:r>
            <w:proofErr w:type="spellEnd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]</w:t>
            </w:r>
          </w:p>
          <w:p w14:paraId="7FFEF669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(attiecībā uz pārvedamu vērtspapīru kolektīvo ieguldījumu uzņēmumiem (PVKIU))</w:t>
            </w: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3402954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hyperlink r:id="rId56" w:history="1">
              <w:r w:rsidR="005F3706" w:rsidRPr="007865E6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pārdomātai atalgojuma politikai saskaņā ar PVKIU direktīvas nosacījumiem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7F7E8036" w14:textId="77777777" w:rsidR="005F3706" w:rsidRPr="008463BA" w:rsidRDefault="005F3706" w:rsidP="00DC069F">
            <w:pPr>
              <w:jc w:val="center"/>
              <w:rPr>
                <w:highlight w:val="red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33098BD5" w14:textId="77777777" w:rsidR="005F3706" w:rsidRPr="008463BA" w:rsidRDefault="005F3706" w:rsidP="00DC069F">
            <w:pPr>
              <w:jc w:val="center"/>
              <w:rPr>
                <w:highlight w:val="red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09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FKTK noteikumi Nr. 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57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104639BB" w14:textId="77C3088B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6CD23414" w14:textId="77777777" w:rsidTr="005F3706">
        <w:trPr>
          <w:trHeight w:val="838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A38C27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19447462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hyperlink r:id="rId57" w:history="1">
              <w:r w:rsidR="005F3706" w:rsidRPr="007865E6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ETF un citiem ar PVKIU saistītiem jautājumiem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7231A0A0" w14:textId="77777777" w:rsidR="005F3706" w:rsidRPr="008463BA" w:rsidRDefault="005F3706" w:rsidP="00DC069F">
            <w:pPr>
              <w:jc w:val="center"/>
              <w:rPr>
                <w:highlight w:val="red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74EC0FD6" w14:textId="77777777" w:rsidR="005F3706" w:rsidRPr="008463BA" w:rsidRDefault="005F3706" w:rsidP="00DC069F">
            <w:pPr>
              <w:jc w:val="center"/>
              <w:rPr>
                <w:highlight w:val="red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04.08.2020.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FKTK noteikumi Nr.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115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1F286C5F" w14:textId="7A5760BC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008AA360" w14:textId="77777777" w:rsidTr="005F3706">
        <w:trPr>
          <w:trHeight w:val="873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24CC9D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9CA8BDC" w14:textId="77777777" w:rsidR="005F3706" w:rsidRPr="008463BA" w:rsidRDefault="004404D4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hyperlink r:id="rId58" w:history="1">
              <w:r w:rsidR="005F3706" w:rsidRPr="007865E6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riska novērtēšanu un vispārējā riska aprēķināšanu dažu veidu strukturētiem PVKIU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2A64552F" w14:textId="77777777" w:rsidR="005F3706" w:rsidRPr="008463BA" w:rsidRDefault="005F3706" w:rsidP="00DC069F">
            <w:pPr>
              <w:jc w:val="center"/>
              <w:rPr>
                <w:highlight w:val="red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ieviestas ar FKTK noteikumiem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6624B2E1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01.09.2020.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FKTK Nr.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147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28EF5488" w14:textId="453A0648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22F29AF7" w14:textId="77777777" w:rsidTr="005F3706">
        <w:trPr>
          <w:trHeight w:val="87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AA55AB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EA55903" w14:textId="77777777" w:rsidR="005F3706" w:rsidRDefault="004404D4" w:rsidP="00DC069F">
            <w:pPr>
              <w:jc w:val="center"/>
              <w:rPr>
                <w:rStyle w:val="Hipersaite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59" w:history="1">
              <w:r w:rsidR="005F370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lv-LV" w:eastAsia="lv-LV"/>
                </w:rPr>
                <w:t>Pamatnostādnes par PVKIU un AIF likviditātes stresa testiem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0854AFDF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D0A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33EBA114" w14:textId="77777777" w:rsidR="005F3706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718F5667" w14:textId="1DCD2E45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595E26" w14:paraId="03CFCC21" w14:textId="77777777" w:rsidTr="005F3706">
        <w:trPr>
          <w:trHeight w:val="87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2FBEC9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  <w:tc>
          <w:tcPr>
            <w:tcW w:w="726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2B702AE" w14:textId="77777777" w:rsidR="005F3706" w:rsidRPr="00595E26" w:rsidRDefault="004404D4" w:rsidP="00DC069F">
            <w:pPr>
              <w:jc w:val="center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 w:eastAsia="lv-LV"/>
              </w:rPr>
            </w:pPr>
            <w:hyperlink r:id="rId60" w:history="1">
              <w:r w:rsidR="005F3706" w:rsidRPr="00595E26">
                <w:rPr>
                  <w:rStyle w:val="Hipersaite"/>
                  <w:rFonts w:ascii="Times New Roman" w:eastAsia="Calibri" w:hAnsi="Times New Roman" w:cs="Times New Roman"/>
                  <w:sz w:val="24"/>
                  <w:szCs w:val="24"/>
                  <w:lang w:val="lv-LV" w:eastAsia="lv-LV"/>
                </w:rPr>
                <w:t>Pamatnostādnes par PVKIU un dažu veidu AIF maksu par darbības rezultātu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51EEA8FF" w14:textId="77777777" w:rsidR="005F3706" w:rsidRPr="00CD0A8D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95E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4BD62C08" w14:textId="77777777" w:rsidR="005F3706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7264103C" w14:textId="15301673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</w:tc>
      </w:tr>
      <w:tr w:rsidR="005F3706" w:rsidRPr="008463BA" w14:paraId="6C329095" w14:textId="77777777" w:rsidTr="005F3706">
        <w:trPr>
          <w:trHeight w:val="873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5D6CB0E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Regula Nr. 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BMR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]</w:t>
            </w:r>
          </w:p>
          <w:p w14:paraId="2C38B35A" w14:textId="77777777" w:rsidR="005F3706" w:rsidRPr="003E5AE9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3E5A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 indeksiem, ko izmanto kā etalonus finanšu instrumentos un finanšu līgumos vai ieguldījumu fondu darbības rezultātu mērīšanai</w:t>
            </w: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16454051" w14:textId="77777777" w:rsidR="005F3706" w:rsidRPr="003E5AE9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61" w:history="1">
              <w:r w:rsidR="005F3706" w:rsidRPr="003E5AE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maznozīmīgiem etaloniem atbilstoši Etalonu regulai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79C114E0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7F4AD114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7443E845" w14:textId="75723122" w:rsidR="005F3706" w:rsidRPr="003E5AE9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 kamēr nav attiecīgi tirgus dalībnieki</w:t>
            </w:r>
          </w:p>
        </w:tc>
      </w:tr>
      <w:tr w:rsidR="005F3706" w:rsidRPr="008463BA" w14:paraId="5AD8FE91" w14:textId="77777777" w:rsidTr="005F3706">
        <w:trPr>
          <w:trHeight w:val="1335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14:paraId="6AE18529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Regula Nr. </w:t>
            </w:r>
            <w:r w:rsidRPr="00DD657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2017/1129 </w:t>
            </w: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Prospectus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Regulation</w:t>
            </w:r>
            <w:proofErr w:type="spellEnd"/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]</w:t>
            </w:r>
          </w:p>
          <w:p w14:paraId="68BE586C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r w:rsidRPr="00DD657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par prospektu, kurš jāpublicē, publiski piedāvājot vērtspapīrus vai atļaujot to tirdzniecību regulētā tirgū, un ar ko atceļ </w:t>
            </w:r>
            <w:r w:rsidRPr="00DD657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Direktīvu 2003/71/EK</w:t>
            </w:r>
            <w:r w:rsidRPr="008463B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7264" w:type="dxa"/>
            <w:shd w:val="clear" w:color="auto" w:fill="FDE9D9" w:themeFill="accent6" w:themeFillTint="33"/>
            <w:vAlign w:val="center"/>
          </w:tcPr>
          <w:p w14:paraId="6953220A" w14:textId="77777777" w:rsidR="005F3706" w:rsidRPr="00DD6576" w:rsidRDefault="004404D4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62" w:history="1">
              <w:r w:rsidR="005F3706" w:rsidRPr="00DD6576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riska faktoriem saskaņā ar Prospektu regulu</w:t>
              </w:r>
            </w:hyperlink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354DCEAC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FDE9D9" w:themeFill="accent6" w:themeFillTint="33"/>
            <w:vAlign w:val="center"/>
          </w:tcPr>
          <w:p w14:paraId="04FE6BB0" w14:textId="77777777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14:paraId="2F75F231" w14:textId="32BB9A1D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  <w:r w:rsidRPr="008463B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Attiecas uz kompetentajām iestādēm</w:t>
            </w:r>
          </w:p>
        </w:tc>
      </w:tr>
      <w:tr w:rsidR="005F3706" w:rsidRPr="000C003F" w14:paraId="723CBF54" w14:textId="77777777" w:rsidTr="005F3706">
        <w:trPr>
          <w:trHeight w:val="873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7E25F4F6" w14:textId="77777777" w:rsidR="005F3706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Regula</w:t>
            </w:r>
          </w:p>
          <w:p w14:paraId="4A9C7293" w14:textId="77777777" w:rsidR="005F3706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 2019/1156</w:t>
            </w:r>
          </w:p>
          <w:p w14:paraId="51AAE66D" w14:textId="40EE93E3" w:rsidR="005F3706" w:rsidRPr="0028204D" w:rsidRDefault="005F3706" w:rsidP="00DC06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8204D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(par kolektīvo ieguldījumu uzņēmumu pārrobežu izplatīšanas atvieglošanu un ar kuru groza Regulas (ES) Nr. 345/2013, (ES) Nr. 346/2013 un (ES) Nr. 1286/2014)</w:t>
            </w:r>
          </w:p>
        </w:tc>
        <w:tc>
          <w:tcPr>
            <w:tcW w:w="7264" w:type="dxa"/>
            <w:shd w:val="clear" w:color="auto" w:fill="DAEEF3" w:themeFill="accent5" w:themeFillTint="33"/>
            <w:vAlign w:val="center"/>
          </w:tcPr>
          <w:p w14:paraId="2456D710" w14:textId="62738185" w:rsidR="005F3706" w:rsidRPr="002F34C0" w:rsidRDefault="004404D4" w:rsidP="002F3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63" w:history="1">
              <w:r w:rsidR="005F3706" w:rsidRPr="002F34C0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lv-LV"/>
                </w:rPr>
                <w:t>Pamatnostādnes par tirgvedības paziņojumiem saskaņā ar Regulu par fondu pārrobežu izplatīšanu</w:t>
              </w:r>
            </w:hyperlink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32855722" w14:textId="6FEE5E95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tieši piemērojamas</w:t>
            </w:r>
          </w:p>
        </w:tc>
        <w:tc>
          <w:tcPr>
            <w:tcW w:w="2121" w:type="dxa"/>
            <w:shd w:val="clear" w:color="auto" w:fill="DAEEF3" w:themeFill="accent5" w:themeFillTint="33"/>
            <w:vAlign w:val="center"/>
          </w:tcPr>
          <w:p w14:paraId="406C706B" w14:textId="26AF63DB" w:rsidR="005F3706" w:rsidRPr="008463BA" w:rsidRDefault="005F3706" w:rsidP="00D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2273" w:type="dxa"/>
            <w:shd w:val="clear" w:color="auto" w:fill="DAEEF3" w:themeFill="accent5" w:themeFillTint="33"/>
            <w:vAlign w:val="center"/>
          </w:tcPr>
          <w:p w14:paraId="1B219423" w14:textId="2B21BC8D" w:rsidR="005F3706" w:rsidRPr="008463BA" w:rsidRDefault="000F1812" w:rsidP="00DC0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</w:tr>
    </w:tbl>
    <w:p w14:paraId="1F84F7B2" w14:textId="77777777" w:rsidR="00D46E65" w:rsidRPr="008463BA" w:rsidRDefault="00D46E65" w:rsidP="00D46E65">
      <w:pPr>
        <w:pStyle w:val="Bezatstarpm"/>
        <w:jc w:val="both"/>
        <w:rPr>
          <w:b/>
          <w:lang w:val="lv-LV"/>
        </w:rPr>
      </w:pPr>
    </w:p>
    <w:p w14:paraId="4B1F3D02" w14:textId="77777777" w:rsidR="00D46E65" w:rsidRPr="008463BA" w:rsidRDefault="00D46E65" w:rsidP="00D46E65">
      <w:pPr>
        <w:pStyle w:val="Bezatstarpm"/>
        <w:jc w:val="both"/>
        <w:rPr>
          <w:lang w:val="lv-LV"/>
        </w:rPr>
      </w:pPr>
      <w:r w:rsidRPr="008463BA">
        <w:rPr>
          <w:b/>
          <w:lang w:val="lv-LV"/>
        </w:rPr>
        <w:t xml:space="preserve">* </w:t>
      </w:r>
      <w:r w:rsidRPr="008463BA">
        <w:rPr>
          <w:color w:val="000000"/>
          <w:lang w:val="lv-LV"/>
        </w:rPr>
        <w:t xml:space="preserve">Saskaņā ar </w:t>
      </w:r>
      <w:r w:rsidRPr="008463BA">
        <w:rPr>
          <w:lang w:val="lv-LV"/>
        </w:rPr>
        <w:t xml:space="preserve">Eiropas </w:t>
      </w:r>
      <w:r w:rsidRPr="008463BA">
        <w:rPr>
          <w:color w:val="000000"/>
          <w:lang w:val="lv-LV"/>
        </w:rPr>
        <w:t>Parlamenta un Padomes 20</w:t>
      </w:r>
      <w:r w:rsidRPr="008463BA">
        <w:rPr>
          <w:lang w:val="lv-LV"/>
        </w:rPr>
        <w:t>10</w:t>
      </w:r>
      <w:r w:rsidRPr="008463BA">
        <w:rPr>
          <w:color w:val="000000"/>
          <w:lang w:val="lv-LV"/>
        </w:rPr>
        <w:t>.</w:t>
      </w:r>
      <w:r w:rsidRPr="008463BA">
        <w:rPr>
          <w:lang w:val="lv-LV"/>
        </w:rPr>
        <w:t xml:space="preserve"> </w:t>
      </w:r>
      <w:r w:rsidRPr="008463BA">
        <w:rPr>
          <w:color w:val="000000"/>
          <w:lang w:val="lv-LV"/>
        </w:rPr>
        <w:t xml:space="preserve">gada </w:t>
      </w:r>
      <w:r w:rsidRPr="008463BA">
        <w:rPr>
          <w:lang w:val="lv-LV"/>
        </w:rPr>
        <w:t>24</w:t>
      </w:r>
      <w:r w:rsidRPr="008463BA">
        <w:rPr>
          <w:color w:val="000000"/>
          <w:lang w:val="lv-LV"/>
        </w:rPr>
        <w:t>.</w:t>
      </w:r>
      <w:r w:rsidRPr="008463BA">
        <w:rPr>
          <w:lang w:val="lv-LV"/>
        </w:rPr>
        <w:t xml:space="preserve"> novembra </w:t>
      </w:r>
      <w:r w:rsidRPr="008463BA">
        <w:rPr>
          <w:color w:val="000000"/>
          <w:lang w:val="lv-LV"/>
        </w:rPr>
        <w:t>regul</w:t>
      </w:r>
      <w:r w:rsidRPr="008463BA">
        <w:rPr>
          <w:lang w:val="lv-LV"/>
        </w:rPr>
        <w:t xml:space="preserve">as Nr. 1095/2010, </w:t>
      </w:r>
      <w:r w:rsidRPr="008463BA">
        <w:rPr>
          <w:color w:val="000000"/>
          <w:lang w:val="lv-LV"/>
        </w:rPr>
        <w:t>ar ko izveido Eiropas Uzraudzības iestādi (Eiropas Vērtspapīru un tirgu iestādi), groza Lēmumu Nr. 716/2009/EK un atceļ Komisijas Lēmumu 2009/77/EK</w:t>
      </w:r>
      <w:r w:rsidRPr="008463BA">
        <w:rPr>
          <w:lang w:val="lv-LV"/>
        </w:rPr>
        <w:t xml:space="preserve"> (turpmāk Regula Nr. 1095/2010) 16. panta 1.punktu, lai Eiropas finanšu uzraudzības sistēmā ieviestu konsekventu, efektīvu un konstruktīvu uzraudzības praksi un nodrošinātu kopēju, vienveidīgu un konsekventu Eiropas Savienības tiesību aktu piemērošanu </w:t>
      </w:r>
      <w:r w:rsidR="00E47E74" w:rsidRPr="008463BA">
        <w:rPr>
          <w:color w:val="000000"/>
          <w:lang w:val="lv-LV"/>
        </w:rPr>
        <w:t>EVTI</w:t>
      </w:r>
      <w:r w:rsidRPr="008463BA">
        <w:rPr>
          <w:color w:val="000000"/>
          <w:lang w:val="lv-LV"/>
        </w:rPr>
        <w:t xml:space="preserve"> ir tiesības izdot pamatnostādnes</w:t>
      </w:r>
      <w:r w:rsidRPr="008463BA">
        <w:rPr>
          <w:lang w:val="lv-LV"/>
        </w:rPr>
        <w:t>, kas adresētas kompetentām iestādēm vai finanšu tirgu dalībniekiem</w:t>
      </w:r>
      <w:r w:rsidRPr="008463BA">
        <w:rPr>
          <w:color w:val="000000"/>
          <w:lang w:val="lv-LV"/>
        </w:rPr>
        <w:t>.</w:t>
      </w:r>
      <w:r w:rsidRPr="008463BA">
        <w:rPr>
          <w:lang w:val="lv-LV"/>
        </w:rPr>
        <w:t xml:space="preserve"> Papildus, vairākos Eiropas Savienības tiesību aktos (gan direktīvās, gan regulās) ir noteikts pienākums E</w:t>
      </w:r>
      <w:r w:rsidR="00E47E74" w:rsidRPr="008463BA">
        <w:rPr>
          <w:lang w:val="lv-LV"/>
        </w:rPr>
        <w:t>VTI</w:t>
      </w:r>
      <w:r w:rsidRPr="008463BA">
        <w:rPr>
          <w:lang w:val="lv-LV"/>
        </w:rPr>
        <w:t xml:space="preserve"> izdot pamatnostādnes, attiecībā uz noteiktu normu piemērošanu.</w:t>
      </w:r>
    </w:p>
    <w:p w14:paraId="08744B4C" w14:textId="77777777" w:rsidR="00D46E65" w:rsidRPr="008463BA" w:rsidRDefault="00D46E65" w:rsidP="00D46E65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lv-LV"/>
        </w:rPr>
      </w:pPr>
    </w:p>
    <w:p w14:paraId="707966B7" w14:textId="77777777" w:rsidR="00D46E65" w:rsidRPr="008463BA" w:rsidRDefault="00D46E65" w:rsidP="00D46E65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lv-LV"/>
        </w:rPr>
      </w:pPr>
      <w:r w:rsidRPr="008463BA">
        <w:rPr>
          <w:rFonts w:ascii="Times New Roman" w:eastAsia="Times New Roman" w:hAnsi="Times New Roman" w:cs="Times New Roman"/>
          <w:color w:val="auto"/>
          <w:lang w:val="lv-LV"/>
        </w:rPr>
        <w:t>Regulas Nr. 1095/2010 16. panta 3.punkts nosaka, kompetentās iestādes un finanšu tirgu dalībnieki dara visu iespējamo, lai ievērotu E</w:t>
      </w:r>
      <w:r w:rsidR="00E47E74" w:rsidRPr="008463BA">
        <w:rPr>
          <w:rFonts w:ascii="Times New Roman" w:eastAsia="Times New Roman" w:hAnsi="Times New Roman" w:cs="Times New Roman"/>
          <w:color w:val="auto"/>
          <w:lang w:val="lv-LV"/>
        </w:rPr>
        <w:t>VTI</w:t>
      </w:r>
      <w:r w:rsidRPr="008463BA">
        <w:rPr>
          <w:rFonts w:ascii="Times New Roman" w:eastAsia="Times New Roman" w:hAnsi="Times New Roman" w:cs="Times New Roman"/>
          <w:color w:val="auto"/>
          <w:lang w:val="lv-LV"/>
        </w:rPr>
        <w:t xml:space="preserve"> izdotās pamatnostādnes un ieteikumus.</w:t>
      </w:r>
    </w:p>
    <w:p w14:paraId="7C667EF3" w14:textId="77777777" w:rsidR="005949AA" w:rsidRPr="008463BA" w:rsidRDefault="005949AA" w:rsidP="00D46E65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lv-LV"/>
        </w:rPr>
      </w:pPr>
    </w:p>
    <w:p w14:paraId="032135E1" w14:textId="4B95A1F0" w:rsidR="005949AA" w:rsidRPr="008463BA" w:rsidRDefault="005949AA" w:rsidP="00D46E65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lv-LV"/>
        </w:rPr>
      </w:pPr>
      <w:r w:rsidRPr="008463BA">
        <w:rPr>
          <w:rFonts w:ascii="Times New Roman" w:eastAsia="Times New Roman" w:hAnsi="Times New Roman" w:cs="Times New Roman"/>
          <w:color w:val="auto"/>
          <w:lang w:val="lv-LV"/>
        </w:rPr>
        <w:t>Saite uz E</w:t>
      </w:r>
      <w:r w:rsidR="00E47E74" w:rsidRPr="008463BA">
        <w:rPr>
          <w:rFonts w:ascii="Times New Roman" w:eastAsia="Times New Roman" w:hAnsi="Times New Roman" w:cs="Times New Roman"/>
          <w:color w:val="auto"/>
          <w:lang w:val="lv-LV"/>
        </w:rPr>
        <w:t>VTI</w:t>
      </w:r>
      <w:r w:rsidRPr="008463BA">
        <w:rPr>
          <w:rFonts w:ascii="Times New Roman" w:eastAsia="Times New Roman" w:hAnsi="Times New Roman" w:cs="Times New Roman"/>
          <w:color w:val="auto"/>
          <w:lang w:val="lv-LV"/>
        </w:rPr>
        <w:t xml:space="preserve"> pamatnostādnēm - </w:t>
      </w:r>
      <w:hyperlink r:id="rId64" w:history="1">
        <w:r w:rsidR="002F34C0" w:rsidRPr="00CA63B4">
          <w:rPr>
            <w:rStyle w:val="Hipersaite"/>
            <w:rFonts w:ascii="Times New Roman" w:eastAsia="Times New Roman" w:hAnsi="Times New Roman" w:cs="Times New Roman"/>
            <w:lang w:val="lv-LV"/>
          </w:rPr>
          <w:t>https://www.esma.europa.eu/sites/default/files/library/esma_guidelines.pdf</w:t>
        </w:r>
      </w:hyperlink>
    </w:p>
    <w:p w14:paraId="2C1CA71F" w14:textId="77777777" w:rsidR="005949AA" w:rsidRPr="008463BA" w:rsidRDefault="005949AA" w:rsidP="00D46E65">
      <w:pPr>
        <w:pStyle w:val="Default"/>
        <w:jc w:val="both"/>
        <w:rPr>
          <w:rFonts w:ascii="Times New Roman" w:eastAsia="Times New Roman" w:hAnsi="Times New Roman" w:cs="Times New Roman"/>
          <w:color w:val="auto"/>
          <w:lang w:val="lv-LV"/>
        </w:rPr>
      </w:pPr>
    </w:p>
    <w:p w14:paraId="62441472" w14:textId="77777777" w:rsidR="006570B3" w:rsidRPr="008463BA" w:rsidRDefault="006570B3" w:rsidP="00AC650A">
      <w:pPr>
        <w:spacing w:after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8D1557E" w14:textId="77777777" w:rsidR="006570B3" w:rsidRPr="008463BA" w:rsidRDefault="006570B3" w:rsidP="00AC65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</w:p>
    <w:sectPr w:rsidR="006570B3" w:rsidRPr="008463BA" w:rsidSect="00A57179">
      <w:headerReference w:type="first" r:id="rId65"/>
      <w:pgSz w:w="16838" w:h="11906" w:orient="landscape" w:code="9"/>
      <w:pgMar w:top="851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C67D" w14:textId="77777777" w:rsidR="004404D4" w:rsidRDefault="004404D4" w:rsidP="00971801">
      <w:pPr>
        <w:spacing w:after="0" w:line="240" w:lineRule="auto"/>
      </w:pPr>
      <w:r>
        <w:separator/>
      </w:r>
    </w:p>
  </w:endnote>
  <w:endnote w:type="continuationSeparator" w:id="0">
    <w:p w14:paraId="5C03D67B" w14:textId="77777777" w:rsidR="004404D4" w:rsidRDefault="004404D4" w:rsidP="0097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8393" w14:textId="77777777" w:rsidR="004404D4" w:rsidRDefault="004404D4" w:rsidP="00971801">
      <w:pPr>
        <w:spacing w:after="0" w:line="240" w:lineRule="auto"/>
      </w:pPr>
      <w:r>
        <w:separator/>
      </w:r>
    </w:p>
  </w:footnote>
  <w:footnote w:type="continuationSeparator" w:id="0">
    <w:p w14:paraId="086AF484" w14:textId="77777777" w:rsidR="004404D4" w:rsidRDefault="004404D4" w:rsidP="0097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2241" w14:textId="77777777" w:rsidR="009B24BB" w:rsidRDefault="009B24BB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F788D" wp14:editId="48F089C5">
              <wp:simplePos x="0" y="0"/>
              <wp:positionH relativeFrom="leftMargin">
                <wp:posOffset>-55880</wp:posOffset>
              </wp:positionH>
              <wp:positionV relativeFrom="paragraph">
                <wp:posOffset>33655</wp:posOffset>
              </wp:positionV>
              <wp:extent cx="965835" cy="483235"/>
              <wp:effectExtent l="0" t="0" r="5715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5835" cy="48323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65B98">
                              <a:shade val="30000"/>
                              <a:satMod val="115000"/>
                              <a:alpha val="0"/>
                              <a:lumMod val="0"/>
                              <a:lumOff val="100000"/>
                            </a:srgbClr>
                          </a:gs>
                          <a:gs pos="100000">
                            <a:srgbClr val="002F87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4FE5E" id="Прямоугольник 8" o:spid="_x0000_s1026" style="position:absolute;margin-left:-4.4pt;margin-top:2.65pt;width:76.0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" stroked="f" strokeweight="2pt">
              <v:fill opacity="0" color2="#002f87" rotate="t" angle="90" focus="100%" type="gradient"/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4EE22E85" wp14:editId="561F89FE">
          <wp:extent cx="1450367" cy="520081"/>
          <wp:effectExtent l="0" t="0" r="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tk-ofic-logo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67" cy="52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6107"/>
    <w:multiLevelType w:val="hybridMultilevel"/>
    <w:tmpl w:val="875E88B4"/>
    <w:lvl w:ilvl="0" w:tplc="C9A091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B1198"/>
    <w:multiLevelType w:val="hybridMultilevel"/>
    <w:tmpl w:val="4F422442"/>
    <w:lvl w:ilvl="0" w:tplc="1604FC08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18215">
    <w:abstractNumId w:val="0"/>
  </w:num>
  <w:num w:numId="2" w16cid:durableId="82964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0A"/>
    <w:rsid w:val="000043B6"/>
    <w:rsid w:val="00017848"/>
    <w:rsid w:val="00026F5D"/>
    <w:rsid w:val="00044F20"/>
    <w:rsid w:val="00046780"/>
    <w:rsid w:val="0005664C"/>
    <w:rsid w:val="00074C33"/>
    <w:rsid w:val="00080EC4"/>
    <w:rsid w:val="000822D8"/>
    <w:rsid w:val="00083DF2"/>
    <w:rsid w:val="0009502F"/>
    <w:rsid w:val="000A0BF4"/>
    <w:rsid w:val="000A3A44"/>
    <w:rsid w:val="000A3C37"/>
    <w:rsid w:val="000B546F"/>
    <w:rsid w:val="000C003F"/>
    <w:rsid w:val="000D4ABD"/>
    <w:rsid w:val="000E6EA0"/>
    <w:rsid w:val="000F1812"/>
    <w:rsid w:val="000F4865"/>
    <w:rsid w:val="0010767C"/>
    <w:rsid w:val="001126AC"/>
    <w:rsid w:val="00113165"/>
    <w:rsid w:val="00123C95"/>
    <w:rsid w:val="0014064E"/>
    <w:rsid w:val="00172D5C"/>
    <w:rsid w:val="00173BE3"/>
    <w:rsid w:val="001751E8"/>
    <w:rsid w:val="001B187E"/>
    <w:rsid w:val="001B5AB3"/>
    <w:rsid w:val="001C2871"/>
    <w:rsid w:val="001D02D0"/>
    <w:rsid w:val="001E268E"/>
    <w:rsid w:val="002036C7"/>
    <w:rsid w:val="00204DC3"/>
    <w:rsid w:val="00212437"/>
    <w:rsid w:val="00236851"/>
    <w:rsid w:val="00241175"/>
    <w:rsid w:val="00243791"/>
    <w:rsid w:val="00253993"/>
    <w:rsid w:val="00281225"/>
    <w:rsid w:val="0028204D"/>
    <w:rsid w:val="00295F11"/>
    <w:rsid w:val="002D6827"/>
    <w:rsid w:val="002D765E"/>
    <w:rsid w:val="002E3A70"/>
    <w:rsid w:val="002E6385"/>
    <w:rsid w:val="002F34C0"/>
    <w:rsid w:val="00323C4A"/>
    <w:rsid w:val="00325100"/>
    <w:rsid w:val="0033442B"/>
    <w:rsid w:val="00336F32"/>
    <w:rsid w:val="00355A45"/>
    <w:rsid w:val="0035612D"/>
    <w:rsid w:val="0038565E"/>
    <w:rsid w:val="003A141F"/>
    <w:rsid w:val="003A3B0D"/>
    <w:rsid w:val="003A642E"/>
    <w:rsid w:val="003B46F1"/>
    <w:rsid w:val="003D244D"/>
    <w:rsid w:val="003E5AE9"/>
    <w:rsid w:val="003F4516"/>
    <w:rsid w:val="004174D7"/>
    <w:rsid w:val="00426481"/>
    <w:rsid w:val="004404D4"/>
    <w:rsid w:val="00450821"/>
    <w:rsid w:val="004761C0"/>
    <w:rsid w:val="00487B8F"/>
    <w:rsid w:val="00496650"/>
    <w:rsid w:val="004A4EB5"/>
    <w:rsid w:val="004A623C"/>
    <w:rsid w:val="004B70CB"/>
    <w:rsid w:val="004C16E2"/>
    <w:rsid w:val="004C34D2"/>
    <w:rsid w:val="004C683A"/>
    <w:rsid w:val="004E4D7C"/>
    <w:rsid w:val="004F0BBE"/>
    <w:rsid w:val="004F72F9"/>
    <w:rsid w:val="005310D2"/>
    <w:rsid w:val="0053794A"/>
    <w:rsid w:val="0054685F"/>
    <w:rsid w:val="00576E71"/>
    <w:rsid w:val="005949AA"/>
    <w:rsid w:val="00595E26"/>
    <w:rsid w:val="005A3B05"/>
    <w:rsid w:val="005C1786"/>
    <w:rsid w:val="005D7429"/>
    <w:rsid w:val="005F3706"/>
    <w:rsid w:val="00605B63"/>
    <w:rsid w:val="00651719"/>
    <w:rsid w:val="006570B3"/>
    <w:rsid w:val="00661161"/>
    <w:rsid w:val="00661AEE"/>
    <w:rsid w:val="006743D9"/>
    <w:rsid w:val="00674F11"/>
    <w:rsid w:val="006A0E44"/>
    <w:rsid w:val="006D3089"/>
    <w:rsid w:val="006D6207"/>
    <w:rsid w:val="006E2F08"/>
    <w:rsid w:val="00702511"/>
    <w:rsid w:val="00704A6C"/>
    <w:rsid w:val="00710F2A"/>
    <w:rsid w:val="00714026"/>
    <w:rsid w:val="00722B32"/>
    <w:rsid w:val="0072330E"/>
    <w:rsid w:val="007264F7"/>
    <w:rsid w:val="00753345"/>
    <w:rsid w:val="0075559F"/>
    <w:rsid w:val="0076408B"/>
    <w:rsid w:val="0076633B"/>
    <w:rsid w:val="007675C8"/>
    <w:rsid w:val="00777848"/>
    <w:rsid w:val="007865E6"/>
    <w:rsid w:val="0079326C"/>
    <w:rsid w:val="007A4119"/>
    <w:rsid w:val="007C39EB"/>
    <w:rsid w:val="007C6578"/>
    <w:rsid w:val="007C6DD6"/>
    <w:rsid w:val="007D0EE6"/>
    <w:rsid w:val="007D2661"/>
    <w:rsid w:val="007D799C"/>
    <w:rsid w:val="007D7B86"/>
    <w:rsid w:val="007E2158"/>
    <w:rsid w:val="008021B7"/>
    <w:rsid w:val="008071BF"/>
    <w:rsid w:val="008136FD"/>
    <w:rsid w:val="00814AE0"/>
    <w:rsid w:val="008463BA"/>
    <w:rsid w:val="008578C4"/>
    <w:rsid w:val="00863627"/>
    <w:rsid w:val="00873138"/>
    <w:rsid w:val="00880155"/>
    <w:rsid w:val="008816BF"/>
    <w:rsid w:val="008939D7"/>
    <w:rsid w:val="008B7B16"/>
    <w:rsid w:val="008C516F"/>
    <w:rsid w:val="008C534F"/>
    <w:rsid w:val="008D29A6"/>
    <w:rsid w:val="008D2FCE"/>
    <w:rsid w:val="00906559"/>
    <w:rsid w:val="00910876"/>
    <w:rsid w:val="00923736"/>
    <w:rsid w:val="0094048A"/>
    <w:rsid w:val="00941CBD"/>
    <w:rsid w:val="00962055"/>
    <w:rsid w:val="00971801"/>
    <w:rsid w:val="009A130E"/>
    <w:rsid w:val="009B07EA"/>
    <w:rsid w:val="009B24BB"/>
    <w:rsid w:val="009E504A"/>
    <w:rsid w:val="009F593E"/>
    <w:rsid w:val="00A06922"/>
    <w:rsid w:val="00A23E59"/>
    <w:rsid w:val="00A47487"/>
    <w:rsid w:val="00A5411C"/>
    <w:rsid w:val="00A57179"/>
    <w:rsid w:val="00A72786"/>
    <w:rsid w:val="00A74AB2"/>
    <w:rsid w:val="00A87EAA"/>
    <w:rsid w:val="00AB4935"/>
    <w:rsid w:val="00AC650A"/>
    <w:rsid w:val="00AC7C5A"/>
    <w:rsid w:val="00AD4930"/>
    <w:rsid w:val="00AE7B6E"/>
    <w:rsid w:val="00AF37BB"/>
    <w:rsid w:val="00AF7608"/>
    <w:rsid w:val="00B00958"/>
    <w:rsid w:val="00B01B24"/>
    <w:rsid w:val="00B17D28"/>
    <w:rsid w:val="00B23BEC"/>
    <w:rsid w:val="00B33DE4"/>
    <w:rsid w:val="00B408AB"/>
    <w:rsid w:val="00B5369B"/>
    <w:rsid w:val="00B567ED"/>
    <w:rsid w:val="00B61D16"/>
    <w:rsid w:val="00B63394"/>
    <w:rsid w:val="00B83ABD"/>
    <w:rsid w:val="00B85617"/>
    <w:rsid w:val="00B92B31"/>
    <w:rsid w:val="00B96744"/>
    <w:rsid w:val="00BB2B67"/>
    <w:rsid w:val="00BB632D"/>
    <w:rsid w:val="00BD196B"/>
    <w:rsid w:val="00BD19C4"/>
    <w:rsid w:val="00BE0A1F"/>
    <w:rsid w:val="00BF516A"/>
    <w:rsid w:val="00C10356"/>
    <w:rsid w:val="00C1287F"/>
    <w:rsid w:val="00C201B7"/>
    <w:rsid w:val="00C371B4"/>
    <w:rsid w:val="00C411CF"/>
    <w:rsid w:val="00C465B0"/>
    <w:rsid w:val="00C506DF"/>
    <w:rsid w:val="00C55A69"/>
    <w:rsid w:val="00C718D9"/>
    <w:rsid w:val="00C81A44"/>
    <w:rsid w:val="00C8578D"/>
    <w:rsid w:val="00CA4671"/>
    <w:rsid w:val="00CB55E8"/>
    <w:rsid w:val="00CB6212"/>
    <w:rsid w:val="00CC31AF"/>
    <w:rsid w:val="00CD0A8D"/>
    <w:rsid w:val="00D031B0"/>
    <w:rsid w:val="00D23ED6"/>
    <w:rsid w:val="00D30038"/>
    <w:rsid w:val="00D46E65"/>
    <w:rsid w:val="00D50D60"/>
    <w:rsid w:val="00D51410"/>
    <w:rsid w:val="00D80D09"/>
    <w:rsid w:val="00DA0CED"/>
    <w:rsid w:val="00DC069F"/>
    <w:rsid w:val="00DD3047"/>
    <w:rsid w:val="00DD3745"/>
    <w:rsid w:val="00DD439C"/>
    <w:rsid w:val="00DD594A"/>
    <w:rsid w:val="00DD6576"/>
    <w:rsid w:val="00DE2F39"/>
    <w:rsid w:val="00DE56D3"/>
    <w:rsid w:val="00DE62AF"/>
    <w:rsid w:val="00DF4D31"/>
    <w:rsid w:val="00E026D3"/>
    <w:rsid w:val="00E21384"/>
    <w:rsid w:val="00E40B33"/>
    <w:rsid w:val="00E43AEF"/>
    <w:rsid w:val="00E47E74"/>
    <w:rsid w:val="00E54F2B"/>
    <w:rsid w:val="00E66D1C"/>
    <w:rsid w:val="00E770B4"/>
    <w:rsid w:val="00EB5117"/>
    <w:rsid w:val="00EC006E"/>
    <w:rsid w:val="00EC48FA"/>
    <w:rsid w:val="00ED18CA"/>
    <w:rsid w:val="00EF7B27"/>
    <w:rsid w:val="00F204A3"/>
    <w:rsid w:val="00F51A10"/>
    <w:rsid w:val="00F51BA9"/>
    <w:rsid w:val="00F65A09"/>
    <w:rsid w:val="00F65D70"/>
    <w:rsid w:val="00F70018"/>
    <w:rsid w:val="00F708AE"/>
    <w:rsid w:val="00F770EF"/>
    <w:rsid w:val="00F95C7F"/>
    <w:rsid w:val="00F95DFB"/>
    <w:rsid w:val="00FC6129"/>
    <w:rsid w:val="00FC7832"/>
    <w:rsid w:val="00FE33E2"/>
    <w:rsid w:val="00FF0BFA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F7D02"/>
  <w15:docId w15:val="{2C1BC77E-1556-45F7-8FFD-B88B63F2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0043B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65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51410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09502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9502F"/>
    <w:rPr>
      <w:rFonts w:ascii="EUAlbertina" w:hAnsi="EUAlbertina" w:cstheme="minorBidi"/>
      <w:color w:val="auto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11CF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D46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Komentraatsauce">
    <w:name w:val="annotation reference"/>
    <w:basedOn w:val="Noklusjumarindkopasfonts"/>
    <w:uiPriority w:val="99"/>
    <w:semiHidden/>
    <w:unhideWhenUsed/>
    <w:rsid w:val="009718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7180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7180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7180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71801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97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1801"/>
  </w:style>
  <w:style w:type="paragraph" w:styleId="Kjene">
    <w:name w:val="footer"/>
    <w:basedOn w:val="Parasts"/>
    <w:link w:val="KjeneRakstz"/>
    <w:uiPriority w:val="99"/>
    <w:unhideWhenUsed/>
    <w:rsid w:val="0097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1801"/>
  </w:style>
  <w:style w:type="character" w:styleId="Hipersaite">
    <w:name w:val="Hyperlink"/>
    <w:basedOn w:val="Noklusjumarindkopasfonts"/>
    <w:uiPriority w:val="99"/>
    <w:unhideWhenUsed/>
    <w:rsid w:val="007D799C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74AB2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31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sma.europa.eu/sites/default/files/library/2015/11/esma_2013_00690000_lv_tra.pdf" TargetMode="External"/><Relationship Id="rId21" Type="http://schemas.openxmlformats.org/officeDocument/2006/relationships/hyperlink" Target="https://www.esma.europa.eu/sites/default/files/library/2016-1575_lv.pdf" TargetMode="External"/><Relationship Id="rId34" Type="http://schemas.openxmlformats.org/officeDocument/2006/relationships/hyperlink" Target="https://www.esma.europa.eu/sites/default/files/library/esma-2016-1480_lv.pdf" TargetMode="External"/><Relationship Id="rId42" Type="http://schemas.openxmlformats.org/officeDocument/2006/relationships/hyperlink" Target="https://www.esma.europa.eu/sites/default/files/library/esma-2016-1452_guidelines_mifid_ii_transaction_reporting_lv.pdf" TargetMode="External"/><Relationship Id="rId47" Type="http://schemas.openxmlformats.org/officeDocument/2006/relationships/hyperlink" Target="https://www.esma.europa.eu/document/joint-esma-and-eba-guidelines-assessment-suitability-members-management-body-and-key-0" TargetMode="External"/><Relationship Id="rId50" Type="http://schemas.openxmlformats.org/officeDocument/2006/relationships/hyperlink" Target="https://www.esma.europa.eu/sites/default/files/library/esma34-49-173_guidelines_mmf_reporting_lv.pdf" TargetMode="External"/><Relationship Id="rId55" Type="http://schemas.openxmlformats.org/officeDocument/2006/relationships/hyperlink" Target="https://www.esma.europa.eu/databases-library/esma-library?ref=2015/1415" TargetMode="External"/><Relationship Id="rId63" Type="http://schemas.openxmlformats.org/officeDocument/2006/relationships/hyperlink" Target="https://www.esma.europa.eu/sites/default/files/library/esma34-45-1272_guidelines_on_marketing_communications_lv.pdf" TargetMode="External"/><Relationship Id="rId7" Type="http://schemas.openxmlformats.org/officeDocument/2006/relationships/hyperlink" Target="https://www.esma.europa.eu/sites/default/files/library/2015/11/esma_2014_00040000_lv_co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sma.europa.eu/sites/default/files/library/esma70-708036281-67_guidelines_on_substantial_importance_of_a_csd_lv.pdf" TargetMode="External"/><Relationship Id="rId29" Type="http://schemas.openxmlformats.org/officeDocument/2006/relationships/hyperlink" Target="https://www.esma.europa.eu/sites/default/files/library/esma70-151-1439_guidelines_on_ccps_management_of_conflicts_of_interest_lv.pdf" TargetMode="External"/><Relationship Id="rId11" Type="http://schemas.openxmlformats.org/officeDocument/2006/relationships/hyperlink" Target="https://www.esma.europa.eu/document/guidelines-liquidity-stress-testing-in-ucits-and-aifs" TargetMode="External"/><Relationship Id="rId24" Type="http://schemas.openxmlformats.org/officeDocument/2006/relationships/hyperlink" Target="https://www.esma.europa.eu/sites/default/files/library/esma33-9-282_guidelines_on_the_endorsement_regime_for_cras_lv.pdf" TargetMode="External"/><Relationship Id="rId32" Type="http://schemas.openxmlformats.org/officeDocument/2006/relationships/hyperlink" Target="https://www.esma.europa.eu/sites/default/files/library/esma-2016-1477_lv.pdf" TargetMode="External"/><Relationship Id="rId37" Type="http://schemas.openxmlformats.org/officeDocument/2006/relationships/hyperlink" Target="https://www.esma.europa.eu/sites/default/files/library/esma70-156-4263_guidelines_mifid_ii_mifir_obligations_on_market_data_lv.pdf" TargetMode="External"/><Relationship Id="rId40" Type="http://schemas.openxmlformats.org/officeDocument/2006/relationships/hyperlink" Target="https://www.esma.europa.eu/sites/default/files/library/2016-574_lv.pdf" TargetMode="External"/><Relationship Id="rId45" Type="http://schemas.openxmlformats.org/officeDocument/2006/relationships/hyperlink" Target="https://www.esma.europa.eu/sites/default/files/library/esma35-43-620_guidelines_on_mifid_ii_product_governance_lv.pdf" TargetMode="External"/><Relationship Id="rId53" Type="http://schemas.openxmlformats.org/officeDocument/2006/relationships/hyperlink" Target="https://www.esma.europa.eu/sites/default/files/library/2015/11/esma2013-74_lv.pdf" TargetMode="External"/><Relationship Id="rId58" Type="http://schemas.openxmlformats.org/officeDocument/2006/relationships/hyperlink" Target="https://www.esma.europa.eu/sites/default/files/library/2015/11/2012-197_lv.pdf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esma.europa.eu/sites/default/files/library/esma70-145-1209_guidelines_on_non-significant_benchmarks_lv.pdf" TargetMode="External"/><Relationship Id="rId19" Type="http://schemas.openxmlformats.org/officeDocument/2006/relationships/hyperlink" Target="https://www.esma.europa.eu/sites/default/files/library/esma70-151-2906_guidelines_on_csdr_art_6_lv.pdf" TargetMode="External"/><Relationship Id="rId14" Type="http://schemas.openxmlformats.org/officeDocument/2006/relationships/hyperlink" Target="https://www.esma.europa.eu/sites/default/files/library/esma70-151-294_guidelines_on_csd_participant_default_rules_lv.pdf" TargetMode="External"/><Relationship Id="rId22" Type="http://schemas.openxmlformats.org/officeDocument/2006/relationships/hyperlink" Target="https://www.esma.europa.eu/sites/default/files/library/2015/11/esma_2015_00040100_lv_tra.pdf" TargetMode="External"/><Relationship Id="rId27" Type="http://schemas.openxmlformats.org/officeDocument/2006/relationships/hyperlink" Target="https://www.esma.europa.eu/sites/default/files/library/2015/11/esma_2013_00080000_lv_tra.pdf" TargetMode="External"/><Relationship Id="rId30" Type="http://schemas.openxmlformats.org/officeDocument/2006/relationships/hyperlink" Target="https://www.esma.europa.eu/sites/default/files/library/esma70-151-1350_guidelines_on_position_calculation_by_trs_under_emir_lv_1.pdf" TargetMode="External"/><Relationship Id="rId35" Type="http://schemas.openxmlformats.org/officeDocument/2006/relationships/hyperlink" Target="https://www.esma.europa.eu/sites/default/files/library/2015/11/esma_2013_00580000_lv_cor.pdf" TargetMode="External"/><Relationship Id="rId43" Type="http://schemas.openxmlformats.org/officeDocument/2006/relationships/hyperlink" Target="https://www.esma.europa.eu/sites/default/files/library/esma70-872942901-63_lv.pdf" TargetMode="External"/><Relationship Id="rId48" Type="http://schemas.openxmlformats.org/officeDocument/2006/relationships/hyperlink" Target="https://www.esma.europa.eu/sites/default/files/library/esma35-43-1163_guidelines_on_certain_aspects_of_mifid_ii_suitability_requirements_lv.pdf" TargetMode="External"/><Relationship Id="rId56" Type="http://schemas.openxmlformats.org/officeDocument/2006/relationships/hyperlink" Target="https://www.esma.europa.eu/sites/default/files/library/2016-575_lv_0.pdf" TargetMode="External"/><Relationship Id="rId64" Type="http://schemas.openxmlformats.org/officeDocument/2006/relationships/hyperlink" Target="https://www.esma.europa.eu/sites/default/files/library/esma_guidelines.pdf" TargetMode="External"/><Relationship Id="rId8" Type="http://schemas.openxmlformats.org/officeDocument/2006/relationships/hyperlink" Target="https://www.esma.europa.eu/search/site/2013%252F998?f%5b0%5d=is_esma_bundle_group%3A1" TargetMode="External"/><Relationship Id="rId51" Type="http://schemas.openxmlformats.org/officeDocument/2006/relationships/hyperlink" Target="https://www.esma.europa.eu/sites/default/files/library/2015/11/lv_-_jc_2014_43_-_joint_committee_-_complaints-handling_guideline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sma.europa.eu/document/guidelines-article-25-directive-201161eu" TargetMode="External"/><Relationship Id="rId17" Type="http://schemas.openxmlformats.org/officeDocument/2006/relationships/hyperlink" Target="https://www.esma.europa.eu/sites/default/files/library/esma70-708036281-66_csdr_guidelines_on_relevant_currencies_lv.pdf" TargetMode="External"/><Relationship Id="rId25" Type="http://schemas.openxmlformats.org/officeDocument/2006/relationships/hyperlink" Target="https://www.esma.europa.eu/sites/default/files/library/2015/11/2014-1133_lv.pdf" TargetMode="External"/><Relationship Id="rId33" Type="http://schemas.openxmlformats.org/officeDocument/2006/relationships/hyperlink" Target="https://www.esma.europa.eu/sites/default/files/library/esma-2016-1478_lv.pdf" TargetMode="External"/><Relationship Id="rId38" Type="http://schemas.openxmlformats.org/officeDocument/2006/relationships/hyperlink" Target="https://www.esma.europa.eu/sites/default/files/library/esma70-156-4263_guidelines_mifid_ii_mifir_obligations_on_market_data_lv.pdf" TargetMode="External"/><Relationship Id="rId46" Type="http://schemas.openxmlformats.org/officeDocument/2006/relationships/hyperlink" Target="https://www.esma.europa.eu/databases-library/esma-library?ref=2015/1886" TargetMode="External"/><Relationship Id="rId59" Type="http://schemas.openxmlformats.org/officeDocument/2006/relationships/hyperlink" Target="https://www.esma.europa.eu/document/guidelines-liquidity-stress-testing-in-ucits-and-aifs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esma.europa.eu/sites/default/files/library/esma70-156-4717_guidelines_on_settlement_fails_reporting_lv.pdf" TargetMode="External"/><Relationship Id="rId41" Type="http://schemas.openxmlformats.org/officeDocument/2006/relationships/hyperlink" Target="https://www.esma.europa.eu/sites/default/files/library/2015-1787_lv_0.pdf" TargetMode="External"/><Relationship Id="rId54" Type="http://schemas.openxmlformats.org/officeDocument/2006/relationships/hyperlink" Target="https://www.esma.europa.eu/sites/default/files/library/2015/11/2014-esma-1293lv.pdf" TargetMode="External"/><Relationship Id="rId62" Type="http://schemas.openxmlformats.org/officeDocument/2006/relationships/hyperlink" Target="https://www.esma.europa.eu/sites/default/files/library/esma31-62-1293_guidelines_on_risk_factors_under_the_prospectus_regulation_lv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esma.europa.eu/sites/default/files/library/esma70-151-435_csdr_guidelines_on_cooperation_between_authorities_lv.pdf" TargetMode="External"/><Relationship Id="rId23" Type="http://schemas.openxmlformats.org/officeDocument/2006/relationships/hyperlink" Target="https://www.esma.europa.eu/sites/default/files/library/2015/11/esma_2013_00650000_lv_tra.pdf" TargetMode="External"/><Relationship Id="rId28" Type="http://schemas.openxmlformats.org/officeDocument/2006/relationships/hyperlink" Target="https://www.esma.europa.eu/sites/default/files/library/esma70-151-1116_guidelines_on_transfer_of_data_between_trs_lv.pdf" TargetMode="External"/><Relationship Id="rId36" Type="http://schemas.openxmlformats.org/officeDocument/2006/relationships/hyperlink" Target="https://www.esma.europa.eu/sites/default/files/library/2015/11/2012-388_lv.pdf" TargetMode="External"/><Relationship Id="rId49" Type="http://schemas.openxmlformats.org/officeDocument/2006/relationships/hyperlink" Target="https://www.esma.europa.eu/document/guidelines-stress-test-scenarios-under-mmf-regulation-2021-update" TargetMode="External"/><Relationship Id="rId57" Type="http://schemas.openxmlformats.org/officeDocument/2006/relationships/hyperlink" Target="https://www.esma.europa.eu/sites/default/files/library/2015/11/esma-2014-0011-01-00-enlv.pdf" TargetMode="External"/><Relationship Id="rId10" Type="http://schemas.openxmlformats.org/officeDocument/2006/relationships/hyperlink" Target="https://www.esma.europa.eu/sites/default/files/library/2015/11/esma_2013_00060000_lv_tra.pdf" TargetMode="External"/><Relationship Id="rId31" Type="http://schemas.openxmlformats.org/officeDocument/2006/relationships/hyperlink" Target="https://www.esma.europa.eu/sites/default/files/library/2015/11/eba_2014_01080000_lv_cor.pdf" TargetMode="External"/><Relationship Id="rId44" Type="http://schemas.openxmlformats.org/officeDocument/2006/relationships/hyperlink" Target="https://www.esma.europa.eu/sites/default/files/library/esma70-154-271_guidelines_on_the_management_body_of_market_operators_and_data_reporting_services_providers_lv.pdf" TargetMode="External"/><Relationship Id="rId52" Type="http://schemas.openxmlformats.org/officeDocument/2006/relationships/hyperlink" Target="https://www.esma.europa.eu/sites/default/files/library/2015/11/esma-2014-298_guidelines_on_cooperation_arrangements_and_information_exchange_lv_tra.pdf" TargetMode="External"/><Relationship Id="rId60" Type="http://schemas.openxmlformats.org/officeDocument/2006/relationships/hyperlink" Target="https://www.esma.europa.eu/document/guidelines-performance-fees-in-ucits-and-certain-types-aifs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ma.europa.eu/sites/default/files/library/2015/11/esma_2013_00600000_lv_cor1_.pdf" TargetMode="External"/><Relationship Id="rId13" Type="http://schemas.openxmlformats.org/officeDocument/2006/relationships/hyperlink" Target="https://www.esma.europa.eu/sites/default/files/library/esma70-151-298_guidelines_on_csd_access_to_trading_feeds_of_ccps_and_tvs_lv.pdf" TargetMode="External"/><Relationship Id="rId18" Type="http://schemas.openxmlformats.org/officeDocument/2006/relationships/hyperlink" Target="https://www.esma.europa.eu/sites/default/files/library/esma70-151-367_csdr_guidelines_on_internalised_settlement_reporting_lv.pdf" TargetMode="External"/><Relationship Id="rId39" Type="http://schemas.openxmlformats.org/officeDocument/2006/relationships/hyperlink" Target="https://www.esma.europa.eu/sites/default/files/library/esma-70-156-869_guidelines_on_c6_c7_application_of_mifid_ii_annex_1_l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12009</Words>
  <Characters>6846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FKTK</Company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Sandis Andersmits</dc:creator>
  <cp:lastModifiedBy>Airisa Ādamsone</cp:lastModifiedBy>
  <cp:revision>2</cp:revision>
  <dcterms:created xsi:type="dcterms:W3CDTF">2022-07-05T08:59:00Z</dcterms:created>
  <dcterms:modified xsi:type="dcterms:W3CDTF">2022-07-05T08:59:00Z</dcterms:modified>
</cp:coreProperties>
</file>