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C24B" w14:textId="48524FFF" w:rsidR="006D1E6E" w:rsidRDefault="00555E10" w:rsidP="006D1E6E">
      <w:pPr>
        <w:ind w:firstLine="0"/>
        <w:jc w:val="right"/>
      </w:pPr>
      <w:r>
        <w:t>8. p</w:t>
      </w:r>
      <w:r w:rsidR="006D1E6E">
        <w:t>ielikums</w:t>
      </w:r>
    </w:p>
    <w:p w14:paraId="3A917DAE" w14:textId="3FD8CADA" w:rsidR="006D1E6E" w:rsidRDefault="006D1E6E" w:rsidP="006D1E6E">
      <w:pPr>
        <w:ind w:firstLine="0"/>
        <w:jc w:val="right"/>
      </w:pPr>
      <w:r>
        <w:t xml:space="preserve">Finanšu un kapitāla tirgus komisijas </w:t>
      </w:r>
      <w:r w:rsidR="00DE4A9F">
        <w:t>05</w:t>
      </w:r>
      <w:r>
        <w:t>.</w:t>
      </w:r>
      <w:r w:rsidR="00DE4A9F">
        <w:t>07</w:t>
      </w:r>
      <w:r>
        <w:t>.</w:t>
      </w:r>
      <w:r w:rsidR="00DE4A9F">
        <w:t>2022</w:t>
      </w:r>
      <w:r>
        <w:t>.</w:t>
      </w:r>
    </w:p>
    <w:p w14:paraId="7A8F4C28" w14:textId="0D186887" w:rsidR="006D1E6E" w:rsidRPr="00C1087C" w:rsidRDefault="00555E10" w:rsidP="006D1E6E">
      <w:pPr>
        <w:ind w:firstLine="0"/>
        <w:jc w:val="right"/>
      </w:pPr>
      <w:r>
        <w:t>i</w:t>
      </w:r>
      <w:r w:rsidR="006D1E6E">
        <w:t>eteikumiem  Nr.</w:t>
      </w:r>
      <w:r w:rsidR="00DE4A9F">
        <w:t xml:space="preserve"> 120</w:t>
      </w:r>
    </w:p>
    <w:p w14:paraId="548E2201" w14:textId="77777777" w:rsidR="00555E10" w:rsidRDefault="00555E10" w:rsidP="00C828E3">
      <w:pPr>
        <w:ind w:firstLine="0"/>
        <w:jc w:val="center"/>
        <w:rPr>
          <w:b/>
        </w:rPr>
      </w:pPr>
    </w:p>
    <w:p w14:paraId="66699377" w14:textId="1F066CF1" w:rsidR="006D1E6E" w:rsidRPr="00E81C2C" w:rsidRDefault="00F66C07" w:rsidP="00C828E3">
      <w:pPr>
        <w:ind w:firstLine="0"/>
        <w:jc w:val="center"/>
        <w:rPr>
          <w:b/>
        </w:rPr>
      </w:pPr>
      <w:r w:rsidRPr="00F66C07">
        <w:rPr>
          <w:b/>
        </w:rPr>
        <w:t>Par finanšu instrumentu tirgu regulējošo tiesību aktu pārkāpumiem piemērojamās sankcijas</w:t>
      </w:r>
      <w:r w:rsidR="004B1102">
        <w:rPr>
          <w:rStyle w:val="FootnoteReference"/>
          <w:b/>
        </w:rPr>
        <w:footnoteReference w:id="1"/>
      </w:r>
    </w:p>
    <w:p w14:paraId="472F645C" w14:textId="002A001B" w:rsidR="006D1E6E" w:rsidRDefault="006D1E6E"/>
    <w:tbl>
      <w:tblPr>
        <w:tblW w:w="1376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7"/>
        <w:gridCol w:w="2409"/>
        <w:gridCol w:w="2410"/>
        <w:gridCol w:w="2410"/>
        <w:gridCol w:w="2410"/>
        <w:gridCol w:w="2409"/>
      </w:tblGrid>
      <w:tr w:rsidR="006D1E6E" w:rsidRPr="008527D7" w14:paraId="619A30CF" w14:textId="77777777" w:rsidTr="00DD4199">
        <w:trPr>
          <w:trHeight w:val="1262"/>
        </w:trPr>
        <w:tc>
          <w:tcPr>
            <w:tcW w:w="1717" w:type="dxa"/>
            <w:tcBorders>
              <w:top w:val="single" w:sz="4" w:space="0" w:color="auto"/>
              <w:left w:val="single" w:sz="4" w:space="0" w:color="auto"/>
              <w:bottom w:val="single" w:sz="4" w:space="0" w:color="auto"/>
            </w:tcBorders>
          </w:tcPr>
          <w:p w14:paraId="546205E0" w14:textId="59F3539A" w:rsidR="006D1E6E" w:rsidRDefault="005F284B" w:rsidP="006958E3">
            <w:pPr>
              <w:ind w:firstLine="0"/>
              <w:jc w:val="center"/>
              <w:rPr>
                <w:b/>
                <w:sz w:val="18"/>
                <w:szCs w:val="18"/>
              </w:rPr>
            </w:pPr>
            <w:r w:rsidRPr="00265C22">
              <w:rPr>
                <w:b/>
                <w:sz w:val="20"/>
                <w:szCs w:val="20"/>
              </w:rPr>
              <w:t>Atsauce uz normatīvajiem aktiem</w:t>
            </w:r>
          </w:p>
        </w:tc>
        <w:tc>
          <w:tcPr>
            <w:tcW w:w="2409" w:type="dxa"/>
            <w:tcBorders>
              <w:top w:val="single" w:sz="4" w:space="0" w:color="auto"/>
              <w:bottom w:val="single" w:sz="4" w:space="0" w:color="auto"/>
            </w:tcBorders>
          </w:tcPr>
          <w:p w14:paraId="4F8853BE" w14:textId="77777777" w:rsidR="006D1E6E" w:rsidRDefault="006D1E6E" w:rsidP="00B86CE7">
            <w:pPr>
              <w:ind w:firstLine="0"/>
              <w:jc w:val="center"/>
              <w:rPr>
                <w:b/>
                <w:sz w:val="18"/>
                <w:szCs w:val="18"/>
              </w:rPr>
            </w:pPr>
            <w:r w:rsidRPr="00AB2A6A">
              <w:rPr>
                <w:b/>
                <w:bCs/>
                <w:sz w:val="20"/>
                <w:szCs w:val="20"/>
              </w:rPr>
              <w:t>Pārkāpuma veids</w:t>
            </w:r>
          </w:p>
        </w:tc>
        <w:tc>
          <w:tcPr>
            <w:tcW w:w="2410" w:type="dxa"/>
            <w:tcBorders>
              <w:top w:val="single" w:sz="4" w:space="0" w:color="auto"/>
              <w:bottom w:val="single" w:sz="4" w:space="0" w:color="auto"/>
            </w:tcBorders>
            <w:shd w:val="clear" w:color="auto" w:fill="D9D9D9" w:themeFill="background1" w:themeFillShade="D9"/>
          </w:tcPr>
          <w:p w14:paraId="1EA750BA" w14:textId="12EBDC8D" w:rsidR="006D1E6E" w:rsidRPr="00E66470" w:rsidRDefault="00381B50" w:rsidP="00B86CE7">
            <w:pPr>
              <w:ind w:firstLine="0"/>
              <w:jc w:val="center"/>
              <w:rPr>
                <w:sz w:val="28"/>
                <w:szCs w:val="28"/>
                <w:highlight w:val="lightGray"/>
              </w:rPr>
            </w:pPr>
            <w:r>
              <w:rPr>
                <w:b/>
                <w:bCs/>
                <w:sz w:val="20"/>
                <w:szCs w:val="20"/>
                <w:highlight w:val="lightGray"/>
              </w:rPr>
              <w:t>Formāls pārkāpums</w:t>
            </w:r>
          </w:p>
        </w:tc>
        <w:tc>
          <w:tcPr>
            <w:tcW w:w="2410" w:type="dxa"/>
            <w:tcBorders>
              <w:top w:val="single" w:sz="4" w:space="0" w:color="auto"/>
              <w:bottom w:val="single" w:sz="4" w:space="0" w:color="auto"/>
            </w:tcBorders>
            <w:shd w:val="clear" w:color="auto" w:fill="FFC000"/>
          </w:tcPr>
          <w:p w14:paraId="13D0C059" w14:textId="77777777" w:rsidR="006D1E6E" w:rsidRDefault="006D1E6E" w:rsidP="00B86CE7">
            <w:pPr>
              <w:ind w:firstLine="0"/>
              <w:jc w:val="center"/>
              <w:rPr>
                <w:b/>
                <w:bCs/>
                <w:sz w:val="20"/>
                <w:szCs w:val="20"/>
              </w:rPr>
            </w:pPr>
            <w:r w:rsidRPr="00AB2A6A">
              <w:rPr>
                <w:b/>
                <w:bCs/>
                <w:sz w:val="20"/>
                <w:szCs w:val="20"/>
              </w:rPr>
              <w:t>Viegls pārkāpums</w:t>
            </w:r>
          </w:p>
          <w:p w14:paraId="4A6FC277" w14:textId="7D78D992"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shd w:val="clear" w:color="auto" w:fill="FF0000"/>
          </w:tcPr>
          <w:p w14:paraId="3C84288C" w14:textId="21E2C294" w:rsidR="006D1E6E" w:rsidRPr="00E66470" w:rsidRDefault="006D1E6E" w:rsidP="00B86CE7">
            <w:pPr>
              <w:ind w:firstLine="0"/>
              <w:jc w:val="center"/>
              <w:rPr>
                <w:b/>
                <w:bCs/>
                <w:sz w:val="20"/>
                <w:szCs w:val="20"/>
                <w:highlight w:val="red"/>
              </w:rPr>
            </w:pPr>
            <w:r w:rsidRPr="00E66470">
              <w:rPr>
                <w:b/>
                <w:bCs/>
                <w:sz w:val="20"/>
                <w:szCs w:val="20"/>
                <w:highlight w:val="red"/>
              </w:rPr>
              <w:t>Nopietns (smags) pārkāpum</w:t>
            </w:r>
            <w:r w:rsidR="005F6E31">
              <w:rPr>
                <w:b/>
                <w:bCs/>
                <w:sz w:val="20"/>
                <w:szCs w:val="20"/>
                <w:highlight w:val="red"/>
              </w:rPr>
              <w:t>s</w:t>
            </w:r>
          </w:p>
          <w:p w14:paraId="35144A1E" w14:textId="203FB9C4" w:rsidR="006D1E6E" w:rsidRPr="00E66470" w:rsidRDefault="006D1E6E" w:rsidP="00B86CE7">
            <w:pPr>
              <w:ind w:hanging="19"/>
              <w:jc w:val="center"/>
              <w:rPr>
                <w:sz w:val="28"/>
                <w:szCs w:val="28"/>
                <w:highlight w:val="red"/>
              </w:rPr>
            </w:pPr>
          </w:p>
        </w:tc>
        <w:tc>
          <w:tcPr>
            <w:tcW w:w="2409" w:type="dxa"/>
            <w:tcBorders>
              <w:top w:val="single" w:sz="4" w:space="0" w:color="auto"/>
              <w:bottom w:val="single" w:sz="4" w:space="0" w:color="auto"/>
              <w:right w:val="single" w:sz="4" w:space="0" w:color="auto"/>
            </w:tcBorders>
            <w:shd w:val="clear" w:color="auto" w:fill="C00000"/>
          </w:tcPr>
          <w:p w14:paraId="666C30C5" w14:textId="77777777" w:rsidR="006D1E6E" w:rsidRDefault="006D1E6E" w:rsidP="00B86CE7">
            <w:pPr>
              <w:ind w:firstLine="0"/>
              <w:jc w:val="center"/>
              <w:rPr>
                <w:b/>
                <w:bCs/>
                <w:sz w:val="20"/>
                <w:szCs w:val="20"/>
              </w:rPr>
            </w:pPr>
            <w:r w:rsidRPr="00AB2A6A">
              <w:rPr>
                <w:b/>
                <w:bCs/>
                <w:sz w:val="20"/>
                <w:szCs w:val="20"/>
              </w:rPr>
              <w:t>Kritisks pārkāpums</w:t>
            </w:r>
          </w:p>
          <w:p w14:paraId="5F97E788" w14:textId="47C65444" w:rsidR="006D1E6E" w:rsidRPr="008527D7" w:rsidRDefault="006D1E6E" w:rsidP="00B86CE7">
            <w:pPr>
              <w:ind w:firstLine="0"/>
              <w:jc w:val="center"/>
              <w:rPr>
                <w:sz w:val="28"/>
                <w:szCs w:val="28"/>
              </w:rPr>
            </w:pPr>
          </w:p>
        </w:tc>
      </w:tr>
      <w:tr w:rsidR="006D1E6E" w:rsidRPr="008527D7" w14:paraId="65538240" w14:textId="77777777" w:rsidTr="004D29C1">
        <w:trPr>
          <w:trHeight w:val="1262"/>
        </w:trPr>
        <w:tc>
          <w:tcPr>
            <w:tcW w:w="1717" w:type="dxa"/>
            <w:tcBorders>
              <w:top w:val="single" w:sz="4" w:space="0" w:color="auto"/>
              <w:left w:val="single" w:sz="4" w:space="0" w:color="auto"/>
              <w:bottom w:val="single" w:sz="4" w:space="0" w:color="auto"/>
            </w:tcBorders>
          </w:tcPr>
          <w:p w14:paraId="734F5E52" w14:textId="77777777" w:rsidR="006D1E6E" w:rsidRDefault="006D1E6E" w:rsidP="00B86CE7">
            <w:pPr>
              <w:ind w:firstLine="0"/>
              <w:jc w:val="left"/>
              <w:rPr>
                <w:b/>
                <w:sz w:val="18"/>
                <w:szCs w:val="18"/>
              </w:rPr>
            </w:pPr>
          </w:p>
        </w:tc>
        <w:tc>
          <w:tcPr>
            <w:tcW w:w="2409" w:type="dxa"/>
            <w:tcBorders>
              <w:top w:val="single" w:sz="4" w:space="0" w:color="auto"/>
              <w:bottom w:val="single" w:sz="4" w:space="0" w:color="auto"/>
            </w:tcBorders>
            <w:shd w:val="clear" w:color="auto" w:fill="FFFFFF" w:themeFill="background1"/>
          </w:tcPr>
          <w:p w14:paraId="46E269EC" w14:textId="4F296F94" w:rsidR="006D1E6E" w:rsidRPr="00DD4199" w:rsidRDefault="00DD4199" w:rsidP="00B86CE7">
            <w:pPr>
              <w:ind w:firstLine="0"/>
              <w:jc w:val="left"/>
              <w:rPr>
                <w:b/>
                <w:sz w:val="18"/>
                <w:szCs w:val="18"/>
              </w:rPr>
            </w:pPr>
            <w:r>
              <w:rPr>
                <w:b/>
                <w:sz w:val="18"/>
                <w:szCs w:val="18"/>
              </w:rPr>
              <w:t xml:space="preserve">1. </w:t>
            </w:r>
            <w:r w:rsidR="006D1E6E" w:rsidRPr="00DD4199">
              <w:rPr>
                <w:b/>
                <w:sz w:val="18"/>
                <w:szCs w:val="18"/>
              </w:rPr>
              <w:t>Termiņa (informācijas sniegšana u.c.) kavējums – pēc Komisijas pieprasījuma</w:t>
            </w:r>
          </w:p>
        </w:tc>
        <w:tc>
          <w:tcPr>
            <w:tcW w:w="2410" w:type="dxa"/>
            <w:tcBorders>
              <w:top w:val="single" w:sz="4" w:space="0" w:color="auto"/>
              <w:bottom w:val="single" w:sz="4" w:space="0" w:color="auto"/>
            </w:tcBorders>
            <w:shd w:val="clear" w:color="auto" w:fill="FFFFFF" w:themeFill="background1"/>
          </w:tcPr>
          <w:p w14:paraId="77065F91" w14:textId="7755DF36" w:rsidR="006D1E6E" w:rsidRPr="008527D7" w:rsidRDefault="006D1E6E" w:rsidP="00B86CE7">
            <w:pPr>
              <w:ind w:firstLine="0"/>
              <w:jc w:val="center"/>
              <w:rPr>
                <w:sz w:val="28"/>
                <w:szCs w:val="28"/>
              </w:rPr>
            </w:pPr>
            <w:r>
              <w:rPr>
                <w:sz w:val="28"/>
                <w:szCs w:val="28"/>
              </w:rPr>
              <w:t>X</w:t>
            </w:r>
          </w:p>
        </w:tc>
        <w:tc>
          <w:tcPr>
            <w:tcW w:w="2410" w:type="dxa"/>
            <w:tcBorders>
              <w:top w:val="single" w:sz="4" w:space="0" w:color="auto"/>
              <w:bottom w:val="single" w:sz="4" w:space="0" w:color="auto"/>
            </w:tcBorders>
            <w:shd w:val="clear" w:color="auto" w:fill="FFFFFF" w:themeFill="background1"/>
          </w:tcPr>
          <w:p w14:paraId="4A8D3FE7" w14:textId="77777777"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shd w:val="clear" w:color="auto" w:fill="FFFFFF" w:themeFill="background1"/>
          </w:tcPr>
          <w:p w14:paraId="27D94F12" w14:textId="77777777" w:rsidR="006D1E6E" w:rsidRPr="008527D7" w:rsidRDefault="006D1E6E" w:rsidP="00B86CE7">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56BB2A52" w14:textId="77777777" w:rsidR="006D1E6E" w:rsidRPr="008527D7" w:rsidRDefault="006D1E6E" w:rsidP="00B86CE7">
            <w:pPr>
              <w:ind w:firstLine="0"/>
              <w:jc w:val="center"/>
              <w:rPr>
                <w:sz w:val="28"/>
                <w:szCs w:val="28"/>
              </w:rPr>
            </w:pPr>
          </w:p>
        </w:tc>
      </w:tr>
      <w:tr w:rsidR="006D1E6E" w:rsidRPr="008527D7" w14:paraId="07A0DBA6" w14:textId="77777777" w:rsidTr="004D29C1">
        <w:trPr>
          <w:trHeight w:val="1262"/>
        </w:trPr>
        <w:tc>
          <w:tcPr>
            <w:tcW w:w="1717" w:type="dxa"/>
            <w:tcBorders>
              <w:top w:val="single" w:sz="4" w:space="0" w:color="auto"/>
              <w:left w:val="single" w:sz="4" w:space="0" w:color="auto"/>
              <w:bottom w:val="single" w:sz="4" w:space="0" w:color="auto"/>
            </w:tcBorders>
          </w:tcPr>
          <w:p w14:paraId="4FB8B1C2" w14:textId="77777777" w:rsidR="006D1E6E" w:rsidRDefault="006D1E6E" w:rsidP="00B86CE7">
            <w:pPr>
              <w:ind w:firstLine="0"/>
              <w:jc w:val="left"/>
              <w:rPr>
                <w:b/>
                <w:sz w:val="18"/>
                <w:szCs w:val="18"/>
              </w:rPr>
            </w:pPr>
          </w:p>
        </w:tc>
        <w:tc>
          <w:tcPr>
            <w:tcW w:w="2409" w:type="dxa"/>
            <w:tcBorders>
              <w:top w:val="single" w:sz="4" w:space="0" w:color="auto"/>
              <w:bottom w:val="single" w:sz="4" w:space="0" w:color="auto"/>
            </w:tcBorders>
            <w:shd w:val="clear" w:color="auto" w:fill="FFFFFF" w:themeFill="background1"/>
          </w:tcPr>
          <w:p w14:paraId="7B883784" w14:textId="6B0C82BA" w:rsidR="006D1E6E" w:rsidRPr="00DD4199" w:rsidRDefault="00DD4199" w:rsidP="00B86CE7">
            <w:pPr>
              <w:ind w:firstLine="0"/>
              <w:jc w:val="left"/>
              <w:rPr>
                <w:b/>
                <w:sz w:val="18"/>
                <w:szCs w:val="18"/>
              </w:rPr>
            </w:pPr>
            <w:r>
              <w:rPr>
                <w:b/>
                <w:sz w:val="18"/>
                <w:szCs w:val="18"/>
              </w:rPr>
              <w:t xml:space="preserve">2. </w:t>
            </w:r>
            <w:r w:rsidR="006D1E6E" w:rsidRPr="00DD4199">
              <w:rPr>
                <w:b/>
                <w:sz w:val="18"/>
                <w:szCs w:val="18"/>
              </w:rPr>
              <w:t>Termiņa (pārskatu sniegšana vai publicēšana) kavējums – normatīvajos aktos noteiktie termiņi pārskatu iesniegšanai/</w:t>
            </w:r>
            <w:r>
              <w:rPr>
                <w:b/>
                <w:sz w:val="18"/>
                <w:szCs w:val="18"/>
              </w:rPr>
              <w:t xml:space="preserve"> </w:t>
            </w:r>
            <w:r w:rsidR="006D1E6E" w:rsidRPr="00DD4199">
              <w:rPr>
                <w:b/>
                <w:sz w:val="18"/>
                <w:szCs w:val="18"/>
              </w:rPr>
              <w:t>publicēšanai</w:t>
            </w:r>
          </w:p>
        </w:tc>
        <w:tc>
          <w:tcPr>
            <w:tcW w:w="2410" w:type="dxa"/>
            <w:tcBorders>
              <w:top w:val="single" w:sz="4" w:space="0" w:color="auto"/>
              <w:bottom w:val="single" w:sz="4" w:space="0" w:color="auto"/>
            </w:tcBorders>
            <w:shd w:val="clear" w:color="auto" w:fill="FFFFFF" w:themeFill="background1"/>
          </w:tcPr>
          <w:p w14:paraId="33C6AD34" w14:textId="4D793B7D" w:rsidR="006D1E6E" w:rsidRPr="008527D7" w:rsidRDefault="006D1E6E" w:rsidP="00B86CE7">
            <w:pPr>
              <w:ind w:firstLine="0"/>
              <w:jc w:val="center"/>
              <w:rPr>
                <w:sz w:val="28"/>
                <w:szCs w:val="28"/>
              </w:rPr>
            </w:pPr>
            <w:r>
              <w:rPr>
                <w:sz w:val="28"/>
                <w:szCs w:val="28"/>
              </w:rPr>
              <w:t>X</w:t>
            </w:r>
          </w:p>
        </w:tc>
        <w:tc>
          <w:tcPr>
            <w:tcW w:w="2410" w:type="dxa"/>
            <w:tcBorders>
              <w:top w:val="single" w:sz="4" w:space="0" w:color="auto"/>
              <w:bottom w:val="single" w:sz="4" w:space="0" w:color="auto"/>
            </w:tcBorders>
            <w:shd w:val="clear" w:color="auto" w:fill="FFFFFF" w:themeFill="background1"/>
          </w:tcPr>
          <w:p w14:paraId="67EF6D3E" w14:textId="77777777"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shd w:val="clear" w:color="auto" w:fill="FFFFFF" w:themeFill="background1"/>
          </w:tcPr>
          <w:p w14:paraId="673EDD0E" w14:textId="77777777" w:rsidR="006D1E6E" w:rsidRPr="008527D7" w:rsidRDefault="006D1E6E" w:rsidP="00B86CE7">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71B353C0" w14:textId="77777777" w:rsidR="006D1E6E" w:rsidRPr="008527D7" w:rsidRDefault="006D1E6E" w:rsidP="00B86CE7">
            <w:pPr>
              <w:ind w:firstLine="0"/>
              <w:jc w:val="center"/>
              <w:rPr>
                <w:sz w:val="28"/>
                <w:szCs w:val="28"/>
              </w:rPr>
            </w:pPr>
          </w:p>
        </w:tc>
      </w:tr>
      <w:tr w:rsidR="006D1E6E" w:rsidRPr="008527D7" w14:paraId="761DE02E" w14:textId="77777777" w:rsidTr="004D29C1">
        <w:trPr>
          <w:trHeight w:val="1262"/>
        </w:trPr>
        <w:tc>
          <w:tcPr>
            <w:tcW w:w="1717" w:type="dxa"/>
            <w:tcBorders>
              <w:top w:val="single" w:sz="4" w:space="0" w:color="auto"/>
              <w:left w:val="single" w:sz="4" w:space="0" w:color="auto"/>
              <w:bottom w:val="single" w:sz="4" w:space="0" w:color="auto"/>
            </w:tcBorders>
          </w:tcPr>
          <w:p w14:paraId="41171C30" w14:textId="77777777" w:rsidR="006D1E6E" w:rsidRDefault="006D1E6E" w:rsidP="00B86CE7">
            <w:pPr>
              <w:ind w:firstLine="0"/>
              <w:jc w:val="left"/>
              <w:rPr>
                <w:b/>
                <w:sz w:val="18"/>
                <w:szCs w:val="18"/>
              </w:rPr>
            </w:pPr>
          </w:p>
        </w:tc>
        <w:tc>
          <w:tcPr>
            <w:tcW w:w="2409" w:type="dxa"/>
            <w:tcBorders>
              <w:top w:val="single" w:sz="4" w:space="0" w:color="auto"/>
              <w:bottom w:val="single" w:sz="4" w:space="0" w:color="auto"/>
            </w:tcBorders>
            <w:shd w:val="clear" w:color="auto" w:fill="FFFFFF" w:themeFill="background1"/>
          </w:tcPr>
          <w:p w14:paraId="2EA12FB6" w14:textId="7A69F522" w:rsidR="006D1E6E" w:rsidRPr="00DD4199" w:rsidRDefault="00DD4199" w:rsidP="00B86CE7">
            <w:pPr>
              <w:ind w:firstLine="0"/>
              <w:jc w:val="left"/>
              <w:rPr>
                <w:b/>
                <w:sz w:val="18"/>
                <w:szCs w:val="18"/>
              </w:rPr>
            </w:pPr>
            <w:r>
              <w:rPr>
                <w:b/>
                <w:sz w:val="18"/>
                <w:szCs w:val="18"/>
              </w:rPr>
              <w:t xml:space="preserve">3. </w:t>
            </w:r>
            <w:r w:rsidR="006D1E6E" w:rsidRPr="00DD4199">
              <w:rPr>
                <w:b/>
                <w:sz w:val="18"/>
                <w:szCs w:val="18"/>
              </w:rPr>
              <w:t>Termiņa kavējums – normatīvajos aktos noteikti</w:t>
            </w:r>
            <w:r w:rsidR="00556DA4">
              <w:rPr>
                <w:b/>
                <w:sz w:val="18"/>
                <w:szCs w:val="18"/>
              </w:rPr>
              <w:t>e</w:t>
            </w:r>
            <w:r w:rsidR="006D1E6E" w:rsidRPr="00DD4199">
              <w:rPr>
                <w:b/>
                <w:sz w:val="18"/>
                <w:szCs w:val="18"/>
              </w:rPr>
              <w:t xml:space="preserve"> termiņi informācijas/ paziņojuma, dokumentu sniegšanai, neparedzot tālāku Komisijas saskaņojuma vai atļaujas sniegšanu (ciešas attiecības, ārpakalpojumi, pārstāvji)</w:t>
            </w:r>
          </w:p>
        </w:tc>
        <w:tc>
          <w:tcPr>
            <w:tcW w:w="2410" w:type="dxa"/>
            <w:tcBorders>
              <w:top w:val="single" w:sz="4" w:space="0" w:color="auto"/>
              <w:bottom w:val="single" w:sz="4" w:space="0" w:color="auto"/>
            </w:tcBorders>
            <w:shd w:val="clear" w:color="auto" w:fill="FFFFFF" w:themeFill="background1"/>
          </w:tcPr>
          <w:p w14:paraId="78B01D86" w14:textId="456684A9" w:rsidR="006D1E6E" w:rsidRPr="008527D7" w:rsidRDefault="006D1E6E" w:rsidP="00B86CE7">
            <w:pPr>
              <w:ind w:firstLine="0"/>
              <w:jc w:val="center"/>
              <w:rPr>
                <w:sz w:val="28"/>
                <w:szCs w:val="28"/>
              </w:rPr>
            </w:pPr>
            <w:r>
              <w:rPr>
                <w:sz w:val="28"/>
                <w:szCs w:val="28"/>
              </w:rPr>
              <w:t>X</w:t>
            </w:r>
          </w:p>
        </w:tc>
        <w:tc>
          <w:tcPr>
            <w:tcW w:w="2410" w:type="dxa"/>
            <w:tcBorders>
              <w:top w:val="single" w:sz="4" w:space="0" w:color="auto"/>
              <w:bottom w:val="single" w:sz="4" w:space="0" w:color="auto"/>
            </w:tcBorders>
            <w:shd w:val="clear" w:color="auto" w:fill="FFFFFF" w:themeFill="background1"/>
          </w:tcPr>
          <w:p w14:paraId="176997AA" w14:textId="77777777"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shd w:val="clear" w:color="auto" w:fill="FFFFFF" w:themeFill="background1"/>
          </w:tcPr>
          <w:p w14:paraId="48EC2382" w14:textId="77777777" w:rsidR="006D1E6E" w:rsidRPr="008527D7" w:rsidRDefault="006D1E6E" w:rsidP="00B86CE7">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261B0865" w14:textId="77777777" w:rsidR="006D1E6E" w:rsidRPr="008527D7" w:rsidRDefault="006D1E6E" w:rsidP="00B86CE7">
            <w:pPr>
              <w:ind w:firstLine="0"/>
              <w:jc w:val="center"/>
              <w:rPr>
                <w:sz w:val="28"/>
                <w:szCs w:val="28"/>
              </w:rPr>
            </w:pPr>
          </w:p>
        </w:tc>
      </w:tr>
      <w:tr w:rsidR="006D1E6E" w:rsidRPr="008527D7" w14:paraId="318A622C" w14:textId="77777777" w:rsidTr="004D29C1">
        <w:trPr>
          <w:trHeight w:val="1262"/>
        </w:trPr>
        <w:tc>
          <w:tcPr>
            <w:tcW w:w="1717" w:type="dxa"/>
            <w:tcBorders>
              <w:top w:val="single" w:sz="4" w:space="0" w:color="auto"/>
              <w:left w:val="single" w:sz="4" w:space="0" w:color="auto"/>
              <w:bottom w:val="single" w:sz="4" w:space="0" w:color="auto"/>
            </w:tcBorders>
          </w:tcPr>
          <w:p w14:paraId="042DD9CC" w14:textId="77777777" w:rsidR="006D1E6E" w:rsidRDefault="00F66C07" w:rsidP="00C828E3">
            <w:pPr>
              <w:ind w:firstLine="0"/>
              <w:jc w:val="left"/>
              <w:rPr>
                <w:b/>
                <w:noProof/>
                <w:sz w:val="18"/>
                <w:szCs w:val="18"/>
              </w:rPr>
            </w:pPr>
            <w:r w:rsidRPr="00F66C07">
              <w:rPr>
                <w:b/>
                <w:noProof/>
                <w:sz w:val="18"/>
                <w:szCs w:val="18"/>
              </w:rPr>
              <w:lastRenderedPageBreak/>
              <w:t>FITL</w:t>
            </w:r>
            <w:r w:rsidRPr="00F66C07">
              <w:rPr>
                <w:rStyle w:val="FootnoteReference"/>
                <w:b/>
                <w:noProof/>
                <w:sz w:val="18"/>
                <w:szCs w:val="18"/>
              </w:rPr>
              <w:footnoteReference w:id="2"/>
            </w:r>
          </w:p>
          <w:p w14:paraId="732E4E94" w14:textId="1E59E962" w:rsidR="00F66C07" w:rsidRPr="00F66C07" w:rsidRDefault="00F66C07" w:rsidP="00C828E3">
            <w:pPr>
              <w:ind w:firstLine="0"/>
              <w:jc w:val="left"/>
              <w:rPr>
                <w:b/>
                <w:sz w:val="18"/>
                <w:szCs w:val="18"/>
              </w:rPr>
            </w:pPr>
            <w:r>
              <w:rPr>
                <w:b/>
                <w:noProof/>
                <w:sz w:val="18"/>
                <w:szCs w:val="18"/>
              </w:rPr>
              <w:t>IBS likums</w:t>
            </w:r>
            <w:r>
              <w:rPr>
                <w:rStyle w:val="FootnoteReference"/>
                <w:b/>
                <w:noProof/>
                <w:sz w:val="18"/>
                <w:szCs w:val="18"/>
              </w:rPr>
              <w:footnoteReference w:id="3"/>
            </w:r>
          </w:p>
        </w:tc>
        <w:tc>
          <w:tcPr>
            <w:tcW w:w="2409" w:type="dxa"/>
            <w:tcBorders>
              <w:top w:val="single" w:sz="4" w:space="0" w:color="auto"/>
              <w:bottom w:val="single" w:sz="4" w:space="0" w:color="auto"/>
            </w:tcBorders>
            <w:shd w:val="clear" w:color="auto" w:fill="FFFFFF" w:themeFill="background1"/>
          </w:tcPr>
          <w:p w14:paraId="7CAB39EB" w14:textId="77777777" w:rsidR="0041488F" w:rsidRPr="006131CD" w:rsidRDefault="00DD4199" w:rsidP="006958E3">
            <w:pPr>
              <w:ind w:firstLine="0"/>
              <w:jc w:val="left"/>
              <w:rPr>
                <w:b/>
                <w:sz w:val="20"/>
                <w:szCs w:val="20"/>
              </w:rPr>
            </w:pPr>
            <w:r>
              <w:rPr>
                <w:b/>
                <w:sz w:val="18"/>
                <w:szCs w:val="18"/>
              </w:rPr>
              <w:t xml:space="preserve">4. </w:t>
            </w:r>
            <w:r w:rsidR="006D1E6E" w:rsidRPr="00DD4199">
              <w:rPr>
                <w:b/>
                <w:sz w:val="18"/>
                <w:szCs w:val="18"/>
              </w:rPr>
              <w:t xml:space="preserve">Amatpersonu </w:t>
            </w:r>
            <w:r w:rsidR="0041488F" w:rsidRPr="006131CD">
              <w:rPr>
                <w:rFonts w:eastAsiaTheme="minorHAnsi"/>
                <w:b/>
                <w:sz w:val="18"/>
                <w:szCs w:val="18"/>
                <w:lang w:eastAsia="en-US"/>
              </w:rPr>
              <w:t>atbilstības un piemērotības novērtēšana</w:t>
            </w:r>
          </w:p>
          <w:p w14:paraId="528965FF" w14:textId="03AA5750" w:rsidR="006D1E6E" w:rsidRPr="00DD4199" w:rsidRDefault="006D1E6E" w:rsidP="00B86CE7">
            <w:pPr>
              <w:ind w:firstLine="0"/>
              <w:jc w:val="left"/>
              <w:rPr>
                <w:b/>
                <w:sz w:val="18"/>
                <w:szCs w:val="18"/>
              </w:rPr>
            </w:pPr>
          </w:p>
        </w:tc>
        <w:tc>
          <w:tcPr>
            <w:tcW w:w="2410" w:type="dxa"/>
            <w:tcBorders>
              <w:top w:val="single" w:sz="4" w:space="0" w:color="auto"/>
              <w:bottom w:val="single" w:sz="4" w:space="0" w:color="auto"/>
            </w:tcBorders>
            <w:shd w:val="clear" w:color="auto" w:fill="FFFFFF" w:themeFill="background1"/>
          </w:tcPr>
          <w:p w14:paraId="7C1AC691" w14:textId="77777777" w:rsidR="006D1E6E" w:rsidRPr="008527D7" w:rsidRDefault="006D1E6E" w:rsidP="00B86CE7">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2A40AE33" w14:textId="5C640467" w:rsidR="006D1E6E" w:rsidRPr="006D1E6E" w:rsidRDefault="006D1E6E" w:rsidP="00B86CE7">
            <w:pPr>
              <w:ind w:firstLine="0"/>
              <w:jc w:val="center"/>
              <w:rPr>
                <w:sz w:val="28"/>
                <w:szCs w:val="28"/>
              </w:rPr>
            </w:pPr>
            <w:r w:rsidRPr="006D1E6E">
              <w:rPr>
                <w:sz w:val="28"/>
                <w:szCs w:val="28"/>
              </w:rPr>
              <w:t>X</w:t>
            </w:r>
          </w:p>
        </w:tc>
        <w:tc>
          <w:tcPr>
            <w:tcW w:w="2410" w:type="dxa"/>
            <w:tcBorders>
              <w:top w:val="single" w:sz="4" w:space="0" w:color="auto"/>
              <w:bottom w:val="single" w:sz="4" w:space="0" w:color="auto"/>
            </w:tcBorders>
            <w:shd w:val="clear" w:color="auto" w:fill="FFFFFF" w:themeFill="background1"/>
          </w:tcPr>
          <w:p w14:paraId="0E67A862" w14:textId="77777777" w:rsidR="006D1E6E" w:rsidRPr="008527D7" w:rsidRDefault="006D1E6E" w:rsidP="00B86CE7">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39B36083" w14:textId="77777777" w:rsidR="006D1E6E" w:rsidRPr="008527D7" w:rsidRDefault="006D1E6E" w:rsidP="00B86CE7">
            <w:pPr>
              <w:ind w:firstLine="0"/>
              <w:jc w:val="center"/>
              <w:rPr>
                <w:sz w:val="28"/>
                <w:szCs w:val="28"/>
              </w:rPr>
            </w:pPr>
          </w:p>
        </w:tc>
      </w:tr>
      <w:tr w:rsidR="006D1E6E" w:rsidRPr="008527D7" w14:paraId="137466F2" w14:textId="77777777" w:rsidTr="004D29C1">
        <w:trPr>
          <w:trHeight w:val="1262"/>
        </w:trPr>
        <w:tc>
          <w:tcPr>
            <w:tcW w:w="1717" w:type="dxa"/>
            <w:tcBorders>
              <w:top w:val="single" w:sz="4" w:space="0" w:color="auto"/>
              <w:left w:val="single" w:sz="4" w:space="0" w:color="auto"/>
              <w:bottom w:val="single" w:sz="4" w:space="0" w:color="auto"/>
            </w:tcBorders>
          </w:tcPr>
          <w:p w14:paraId="2D90056C" w14:textId="77777777" w:rsidR="006D1E6E" w:rsidRPr="00F66C07" w:rsidRDefault="00F66C07" w:rsidP="00B86CE7">
            <w:pPr>
              <w:ind w:firstLine="0"/>
              <w:jc w:val="left"/>
              <w:rPr>
                <w:b/>
                <w:noProof/>
                <w:sz w:val="18"/>
                <w:szCs w:val="18"/>
                <w:bdr w:val="none" w:sz="0" w:space="0" w:color="auto" w:frame="1"/>
                <w:shd w:val="clear" w:color="auto" w:fill="FFFFFF"/>
              </w:rPr>
            </w:pPr>
            <w:r w:rsidRPr="00F66C07">
              <w:rPr>
                <w:b/>
                <w:noProof/>
                <w:sz w:val="18"/>
                <w:szCs w:val="18"/>
                <w:bdr w:val="none" w:sz="0" w:space="0" w:color="auto" w:frame="1"/>
                <w:shd w:val="clear" w:color="auto" w:fill="FFFFFF"/>
              </w:rPr>
              <w:t>FITL</w:t>
            </w:r>
          </w:p>
          <w:p w14:paraId="24E510FF" w14:textId="10B6A26B" w:rsidR="00F66C07" w:rsidRDefault="00F66C07" w:rsidP="00B86CE7">
            <w:pPr>
              <w:ind w:firstLine="0"/>
              <w:jc w:val="left"/>
              <w:rPr>
                <w:b/>
                <w:sz w:val="18"/>
                <w:szCs w:val="18"/>
              </w:rPr>
            </w:pPr>
            <w:r w:rsidRPr="00F66C07">
              <w:rPr>
                <w:b/>
                <w:noProof/>
                <w:sz w:val="18"/>
                <w:szCs w:val="18"/>
                <w:bdr w:val="none" w:sz="0" w:space="0" w:color="auto" w:frame="1"/>
                <w:shd w:val="clear" w:color="auto" w:fill="FFFFFF"/>
              </w:rPr>
              <w:t>IBS likums</w:t>
            </w:r>
          </w:p>
        </w:tc>
        <w:tc>
          <w:tcPr>
            <w:tcW w:w="2409" w:type="dxa"/>
            <w:tcBorders>
              <w:top w:val="single" w:sz="4" w:space="0" w:color="auto"/>
              <w:bottom w:val="single" w:sz="4" w:space="0" w:color="auto"/>
            </w:tcBorders>
            <w:shd w:val="clear" w:color="auto" w:fill="FFFFFF" w:themeFill="background1"/>
          </w:tcPr>
          <w:p w14:paraId="2DB12FE2" w14:textId="7E74D7CC" w:rsidR="006D1E6E" w:rsidRPr="00DD4199" w:rsidRDefault="00DD4199" w:rsidP="006D1E6E">
            <w:pPr>
              <w:ind w:firstLine="0"/>
              <w:rPr>
                <w:b/>
                <w:sz w:val="18"/>
                <w:szCs w:val="18"/>
              </w:rPr>
            </w:pPr>
            <w:r>
              <w:rPr>
                <w:b/>
                <w:sz w:val="18"/>
                <w:szCs w:val="18"/>
              </w:rPr>
              <w:t xml:space="preserve">5. </w:t>
            </w:r>
            <w:r w:rsidR="006D1E6E" w:rsidRPr="00DD4199">
              <w:rPr>
                <w:b/>
                <w:sz w:val="18"/>
                <w:szCs w:val="18"/>
              </w:rPr>
              <w:t>Būtiska līdzdalība</w:t>
            </w:r>
          </w:p>
          <w:p w14:paraId="02C9C668" w14:textId="77777777" w:rsidR="006D1E6E" w:rsidRPr="00DD4199" w:rsidRDefault="006D1E6E" w:rsidP="00B86CE7">
            <w:pPr>
              <w:ind w:firstLine="0"/>
              <w:jc w:val="left"/>
              <w:rPr>
                <w:b/>
                <w:sz w:val="18"/>
                <w:szCs w:val="18"/>
              </w:rPr>
            </w:pPr>
          </w:p>
        </w:tc>
        <w:tc>
          <w:tcPr>
            <w:tcW w:w="2410" w:type="dxa"/>
            <w:tcBorders>
              <w:top w:val="single" w:sz="4" w:space="0" w:color="auto"/>
              <w:bottom w:val="single" w:sz="4" w:space="0" w:color="auto"/>
            </w:tcBorders>
            <w:shd w:val="clear" w:color="auto" w:fill="FFFFFF" w:themeFill="background1"/>
          </w:tcPr>
          <w:p w14:paraId="11CD2700" w14:textId="77777777" w:rsidR="006D1E6E" w:rsidRPr="008527D7" w:rsidRDefault="006D1E6E" w:rsidP="00B86CE7">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3F9DF1F0" w14:textId="77777777" w:rsidR="006D1E6E" w:rsidRPr="006D1E6E" w:rsidRDefault="006D1E6E" w:rsidP="00B86CE7">
            <w:pPr>
              <w:ind w:firstLine="0"/>
              <w:jc w:val="center"/>
              <w:rPr>
                <w:sz w:val="28"/>
                <w:szCs w:val="28"/>
              </w:rPr>
            </w:pPr>
            <w:r w:rsidRPr="006D1E6E">
              <w:rPr>
                <w:sz w:val="28"/>
                <w:szCs w:val="28"/>
              </w:rPr>
              <w:t>X</w:t>
            </w:r>
          </w:p>
          <w:p w14:paraId="2C17576C" w14:textId="77777777" w:rsidR="006D1E6E" w:rsidRDefault="006D1E6E" w:rsidP="006D1E6E">
            <w:pPr>
              <w:jc w:val="center"/>
              <w:rPr>
                <w:rFonts w:ascii="Calibri" w:hAnsi="Calibri" w:cs="Calibri"/>
                <w:b/>
                <w:bCs/>
                <w:sz w:val="18"/>
                <w:szCs w:val="18"/>
              </w:rPr>
            </w:pPr>
          </w:p>
          <w:p w14:paraId="29574E4B" w14:textId="10D73BA1" w:rsidR="006D1E6E" w:rsidRPr="00DD4199" w:rsidRDefault="006D1E6E" w:rsidP="006D1E6E">
            <w:pPr>
              <w:ind w:firstLine="0"/>
              <w:jc w:val="center"/>
              <w:rPr>
                <w:b/>
                <w:bCs/>
                <w:sz w:val="18"/>
                <w:szCs w:val="18"/>
              </w:rPr>
            </w:pPr>
            <w:r w:rsidRPr="00DD4199">
              <w:rPr>
                <w:b/>
                <w:bCs/>
                <w:sz w:val="18"/>
                <w:szCs w:val="18"/>
              </w:rPr>
              <w:t>Kritēriji:</w:t>
            </w:r>
          </w:p>
          <w:p w14:paraId="15635F60" w14:textId="77777777" w:rsidR="006D1E6E" w:rsidRPr="00DD4199" w:rsidRDefault="006D1E6E" w:rsidP="006D1E6E">
            <w:pPr>
              <w:ind w:firstLine="0"/>
              <w:jc w:val="center"/>
              <w:rPr>
                <w:sz w:val="18"/>
                <w:szCs w:val="18"/>
              </w:rPr>
            </w:pPr>
            <w:r w:rsidRPr="00DD4199">
              <w:rPr>
                <w:sz w:val="18"/>
                <w:szCs w:val="18"/>
              </w:rPr>
              <w:t>Tieša līdzdalība līdz 33%</w:t>
            </w:r>
          </w:p>
          <w:p w14:paraId="065DECB8" w14:textId="204EAE55" w:rsidR="006D1E6E" w:rsidRDefault="006D1E6E" w:rsidP="006D1E6E">
            <w:pPr>
              <w:ind w:firstLine="0"/>
              <w:jc w:val="center"/>
              <w:rPr>
                <w:b/>
                <w:bCs/>
                <w:sz w:val="28"/>
                <w:szCs w:val="28"/>
              </w:rPr>
            </w:pPr>
            <w:r w:rsidRPr="00DD4199">
              <w:rPr>
                <w:sz w:val="18"/>
                <w:szCs w:val="18"/>
              </w:rPr>
              <w:t>Netieša līdzdalība līdz 50%</w:t>
            </w:r>
          </w:p>
        </w:tc>
        <w:tc>
          <w:tcPr>
            <w:tcW w:w="2410" w:type="dxa"/>
            <w:tcBorders>
              <w:top w:val="single" w:sz="4" w:space="0" w:color="auto"/>
              <w:bottom w:val="single" w:sz="4" w:space="0" w:color="auto"/>
            </w:tcBorders>
            <w:shd w:val="clear" w:color="auto" w:fill="FFFFFF" w:themeFill="background1"/>
          </w:tcPr>
          <w:p w14:paraId="4367A4D5" w14:textId="77777777" w:rsidR="006D1E6E" w:rsidRDefault="006D1E6E" w:rsidP="00B86CE7">
            <w:pPr>
              <w:ind w:hanging="19"/>
              <w:jc w:val="center"/>
              <w:rPr>
                <w:sz w:val="28"/>
                <w:szCs w:val="28"/>
              </w:rPr>
            </w:pPr>
            <w:r>
              <w:rPr>
                <w:sz w:val="28"/>
                <w:szCs w:val="28"/>
              </w:rPr>
              <w:t>X</w:t>
            </w:r>
          </w:p>
          <w:p w14:paraId="69A086D2" w14:textId="77777777" w:rsidR="006D1E6E" w:rsidRPr="006D1E6E" w:rsidRDefault="006D1E6E" w:rsidP="00B86CE7">
            <w:pPr>
              <w:ind w:hanging="19"/>
              <w:jc w:val="center"/>
              <w:rPr>
                <w:rFonts w:asciiTheme="minorHAnsi" w:hAnsiTheme="minorHAnsi" w:cstheme="minorHAnsi"/>
                <w:sz w:val="18"/>
                <w:szCs w:val="18"/>
              </w:rPr>
            </w:pPr>
          </w:p>
          <w:p w14:paraId="4E61036D" w14:textId="77777777" w:rsidR="006D1E6E" w:rsidRPr="00DD4199" w:rsidRDefault="006D1E6E" w:rsidP="006D1E6E">
            <w:pPr>
              <w:ind w:firstLine="0"/>
              <w:jc w:val="center"/>
              <w:rPr>
                <w:b/>
                <w:bCs/>
                <w:sz w:val="18"/>
                <w:szCs w:val="18"/>
              </w:rPr>
            </w:pPr>
            <w:r w:rsidRPr="00DD4199">
              <w:rPr>
                <w:b/>
                <w:bCs/>
                <w:sz w:val="18"/>
                <w:szCs w:val="18"/>
              </w:rPr>
              <w:t>Kritēriji:</w:t>
            </w:r>
          </w:p>
          <w:p w14:paraId="7ACD3DF7" w14:textId="77777777" w:rsidR="006D1E6E" w:rsidRPr="00DD4199" w:rsidRDefault="006D1E6E" w:rsidP="006D1E6E">
            <w:pPr>
              <w:ind w:firstLine="0"/>
              <w:jc w:val="center"/>
              <w:rPr>
                <w:sz w:val="18"/>
                <w:szCs w:val="18"/>
              </w:rPr>
            </w:pPr>
            <w:r w:rsidRPr="00DD4199">
              <w:rPr>
                <w:sz w:val="18"/>
                <w:szCs w:val="18"/>
              </w:rPr>
              <w:t>Tieša līdzdalība virs 33%</w:t>
            </w:r>
          </w:p>
          <w:p w14:paraId="5C4EFE6C" w14:textId="2ECF36F9" w:rsidR="006D1E6E" w:rsidRPr="008527D7" w:rsidRDefault="006D1E6E" w:rsidP="006D1E6E">
            <w:pPr>
              <w:ind w:hanging="19"/>
              <w:jc w:val="center"/>
              <w:rPr>
                <w:sz w:val="28"/>
                <w:szCs w:val="28"/>
              </w:rPr>
            </w:pPr>
            <w:r w:rsidRPr="00DD4199">
              <w:rPr>
                <w:sz w:val="18"/>
                <w:szCs w:val="18"/>
              </w:rPr>
              <w:t>Netieša līdzdalība virs 50%</w:t>
            </w:r>
          </w:p>
        </w:tc>
        <w:tc>
          <w:tcPr>
            <w:tcW w:w="2409" w:type="dxa"/>
            <w:tcBorders>
              <w:top w:val="single" w:sz="4" w:space="0" w:color="auto"/>
              <w:bottom w:val="single" w:sz="4" w:space="0" w:color="auto"/>
              <w:right w:val="single" w:sz="4" w:space="0" w:color="auto"/>
            </w:tcBorders>
            <w:shd w:val="clear" w:color="auto" w:fill="FFFFFF" w:themeFill="background1"/>
          </w:tcPr>
          <w:p w14:paraId="5D835C2F" w14:textId="77777777" w:rsidR="006D1E6E" w:rsidRPr="008527D7" w:rsidRDefault="006D1E6E" w:rsidP="00B86CE7">
            <w:pPr>
              <w:ind w:firstLine="0"/>
              <w:jc w:val="center"/>
              <w:rPr>
                <w:sz w:val="28"/>
                <w:szCs w:val="28"/>
              </w:rPr>
            </w:pPr>
          </w:p>
        </w:tc>
      </w:tr>
      <w:tr w:rsidR="006D1E6E" w:rsidRPr="008527D7" w14:paraId="7F9B2987" w14:textId="77777777" w:rsidTr="004D29C1">
        <w:trPr>
          <w:trHeight w:val="1262"/>
        </w:trPr>
        <w:tc>
          <w:tcPr>
            <w:tcW w:w="1717" w:type="dxa"/>
            <w:tcBorders>
              <w:top w:val="single" w:sz="4" w:space="0" w:color="auto"/>
              <w:left w:val="single" w:sz="4" w:space="0" w:color="auto"/>
              <w:bottom w:val="single" w:sz="4" w:space="0" w:color="auto"/>
            </w:tcBorders>
          </w:tcPr>
          <w:p w14:paraId="7143106D" w14:textId="77777777" w:rsidR="006D1E6E" w:rsidRDefault="00F66C07" w:rsidP="00B86CE7">
            <w:pPr>
              <w:ind w:firstLine="0"/>
              <w:jc w:val="left"/>
              <w:rPr>
                <w:b/>
                <w:sz w:val="18"/>
                <w:szCs w:val="18"/>
              </w:rPr>
            </w:pPr>
            <w:r>
              <w:rPr>
                <w:b/>
                <w:sz w:val="18"/>
                <w:szCs w:val="18"/>
              </w:rPr>
              <w:t>FITL</w:t>
            </w:r>
          </w:p>
          <w:p w14:paraId="542878EF" w14:textId="13D1C3AC" w:rsidR="00F66C07" w:rsidRDefault="00F66C07" w:rsidP="00B86CE7">
            <w:pPr>
              <w:ind w:firstLine="0"/>
              <w:jc w:val="left"/>
              <w:rPr>
                <w:b/>
                <w:sz w:val="18"/>
                <w:szCs w:val="18"/>
              </w:rPr>
            </w:pPr>
            <w:r>
              <w:rPr>
                <w:b/>
                <w:sz w:val="18"/>
                <w:szCs w:val="18"/>
              </w:rPr>
              <w:t>IBS likums</w:t>
            </w:r>
          </w:p>
        </w:tc>
        <w:tc>
          <w:tcPr>
            <w:tcW w:w="2409" w:type="dxa"/>
            <w:tcBorders>
              <w:top w:val="single" w:sz="4" w:space="0" w:color="auto"/>
              <w:bottom w:val="single" w:sz="4" w:space="0" w:color="auto"/>
            </w:tcBorders>
            <w:shd w:val="clear" w:color="auto" w:fill="FFFFFF" w:themeFill="background1"/>
          </w:tcPr>
          <w:p w14:paraId="2FB455C5" w14:textId="2E8AA029" w:rsidR="006D1E6E" w:rsidRPr="00DD4199" w:rsidRDefault="00DD4199" w:rsidP="006958E3">
            <w:pPr>
              <w:ind w:firstLine="0"/>
              <w:jc w:val="left"/>
              <w:rPr>
                <w:b/>
                <w:sz w:val="18"/>
                <w:szCs w:val="18"/>
              </w:rPr>
            </w:pPr>
            <w:r>
              <w:rPr>
                <w:b/>
                <w:sz w:val="18"/>
                <w:szCs w:val="18"/>
              </w:rPr>
              <w:t xml:space="preserve">6. </w:t>
            </w:r>
            <w:r w:rsidR="006D1E6E" w:rsidRPr="00DD4199">
              <w:rPr>
                <w:b/>
                <w:sz w:val="18"/>
                <w:szCs w:val="18"/>
              </w:rPr>
              <w:t>Ārpakalpojums vai pārstāvji</w:t>
            </w:r>
          </w:p>
        </w:tc>
        <w:tc>
          <w:tcPr>
            <w:tcW w:w="2410" w:type="dxa"/>
            <w:tcBorders>
              <w:top w:val="single" w:sz="4" w:space="0" w:color="auto"/>
              <w:bottom w:val="single" w:sz="4" w:space="0" w:color="auto"/>
            </w:tcBorders>
            <w:shd w:val="clear" w:color="auto" w:fill="FFFFFF" w:themeFill="background1"/>
          </w:tcPr>
          <w:p w14:paraId="344B4474" w14:textId="77777777" w:rsidR="006D1E6E" w:rsidRPr="008527D7" w:rsidRDefault="006D1E6E" w:rsidP="00B86CE7">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468DE078" w14:textId="6F795EC8" w:rsidR="006D1E6E" w:rsidRPr="006D1E6E" w:rsidRDefault="006D1E6E" w:rsidP="00B86CE7">
            <w:pPr>
              <w:ind w:firstLine="0"/>
              <w:jc w:val="center"/>
              <w:rPr>
                <w:sz w:val="28"/>
                <w:szCs w:val="28"/>
              </w:rPr>
            </w:pPr>
            <w:r>
              <w:rPr>
                <w:sz w:val="28"/>
                <w:szCs w:val="28"/>
              </w:rPr>
              <w:t>X</w:t>
            </w:r>
          </w:p>
        </w:tc>
        <w:tc>
          <w:tcPr>
            <w:tcW w:w="2410" w:type="dxa"/>
            <w:tcBorders>
              <w:top w:val="single" w:sz="4" w:space="0" w:color="auto"/>
              <w:bottom w:val="single" w:sz="4" w:space="0" w:color="auto"/>
            </w:tcBorders>
            <w:shd w:val="clear" w:color="auto" w:fill="FFFFFF" w:themeFill="background1"/>
          </w:tcPr>
          <w:p w14:paraId="4BE93CA0" w14:textId="77777777" w:rsidR="006D1E6E" w:rsidRDefault="006D1E6E" w:rsidP="00B86CE7">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4DC7A895" w14:textId="77777777" w:rsidR="006D1E6E" w:rsidRPr="008527D7" w:rsidRDefault="006D1E6E" w:rsidP="00B86CE7">
            <w:pPr>
              <w:ind w:firstLine="0"/>
              <w:jc w:val="center"/>
              <w:rPr>
                <w:sz w:val="28"/>
                <w:szCs w:val="28"/>
              </w:rPr>
            </w:pPr>
          </w:p>
        </w:tc>
      </w:tr>
      <w:tr w:rsidR="006D1E6E" w:rsidRPr="008527D7" w14:paraId="0117553D" w14:textId="77777777" w:rsidTr="004D29C1">
        <w:trPr>
          <w:trHeight w:val="1262"/>
        </w:trPr>
        <w:tc>
          <w:tcPr>
            <w:tcW w:w="1717" w:type="dxa"/>
            <w:tcBorders>
              <w:top w:val="single" w:sz="4" w:space="0" w:color="auto"/>
              <w:left w:val="single" w:sz="4" w:space="0" w:color="auto"/>
              <w:bottom w:val="single" w:sz="4" w:space="0" w:color="auto"/>
            </w:tcBorders>
          </w:tcPr>
          <w:p w14:paraId="4C3A0238" w14:textId="77777777" w:rsidR="006D1E6E" w:rsidRDefault="00F66C07" w:rsidP="00B86CE7">
            <w:pPr>
              <w:ind w:firstLine="0"/>
              <w:jc w:val="left"/>
              <w:rPr>
                <w:b/>
                <w:sz w:val="18"/>
                <w:szCs w:val="18"/>
              </w:rPr>
            </w:pPr>
            <w:r>
              <w:rPr>
                <w:b/>
                <w:sz w:val="18"/>
                <w:szCs w:val="18"/>
              </w:rPr>
              <w:t>FITL</w:t>
            </w:r>
          </w:p>
          <w:p w14:paraId="739E0CA8" w14:textId="5A361C82" w:rsidR="00F66C07" w:rsidRDefault="00F66C07" w:rsidP="00B86CE7">
            <w:pPr>
              <w:ind w:firstLine="0"/>
              <w:jc w:val="left"/>
              <w:rPr>
                <w:b/>
                <w:sz w:val="18"/>
                <w:szCs w:val="18"/>
              </w:rPr>
            </w:pPr>
            <w:r>
              <w:rPr>
                <w:b/>
                <w:sz w:val="18"/>
                <w:szCs w:val="18"/>
              </w:rPr>
              <w:t>IBS likums</w:t>
            </w:r>
          </w:p>
        </w:tc>
        <w:tc>
          <w:tcPr>
            <w:tcW w:w="2409" w:type="dxa"/>
            <w:tcBorders>
              <w:top w:val="single" w:sz="4" w:space="0" w:color="auto"/>
              <w:bottom w:val="single" w:sz="4" w:space="0" w:color="auto"/>
            </w:tcBorders>
            <w:shd w:val="clear" w:color="auto" w:fill="FFFFFF" w:themeFill="background1"/>
          </w:tcPr>
          <w:p w14:paraId="11587275" w14:textId="38E443AC" w:rsidR="006D1E6E" w:rsidRPr="00DD4199" w:rsidRDefault="00DD4199" w:rsidP="00B86CE7">
            <w:pPr>
              <w:ind w:firstLine="0"/>
              <w:jc w:val="left"/>
              <w:rPr>
                <w:b/>
                <w:sz w:val="18"/>
                <w:szCs w:val="18"/>
              </w:rPr>
            </w:pPr>
            <w:r>
              <w:rPr>
                <w:b/>
                <w:sz w:val="18"/>
                <w:szCs w:val="18"/>
              </w:rPr>
              <w:t xml:space="preserve">7. </w:t>
            </w:r>
            <w:r w:rsidR="006D1E6E" w:rsidRPr="00DD4199">
              <w:rPr>
                <w:b/>
                <w:sz w:val="18"/>
                <w:szCs w:val="18"/>
              </w:rPr>
              <w:t>Kapitāla prasību neizpilde (nepietiek</w:t>
            </w:r>
            <w:r w:rsidR="00556DA4">
              <w:rPr>
                <w:b/>
                <w:sz w:val="18"/>
                <w:szCs w:val="18"/>
              </w:rPr>
              <w:t>ami</w:t>
            </w:r>
            <w:r w:rsidR="006D1E6E" w:rsidRPr="00DD4199">
              <w:rPr>
                <w:b/>
                <w:sz w:val="18"/>
                <w:szCs w:val="18"/>
              </w:rPr>
              <w:t xml:space="preserve"> </w:t>
            </w:r>
            <w:r w:rsidR="00556DA4">
              <w:rPr>
                <w:b/>
                <w:sz w:val="18"/>
                <w:szCs w:val="18"/>
              </w:rPr>
              <w:t>līdzekļi</w:t>
            </w:r>
            <w:r w:rsidR="006D1E6E" w:rsidRPr="00DD4199">
              <w:rPr>
                <w:b/>
                <w:sz w:val="18"/>
                <w:szCs w:val="18"/>
              </w:rPr>
              <w:t>), kapitāla rādītāji</w:t>
            </w:r>
          </w:p>
        </w:tc>
        <w:tc>
          <w:tcPr>
            <w:tcW w:w="2410" w:type="dxa"/>
            <w:tcBorders>
              <w:top w:val="single" w:sz="4" w:space="0" w:color="auto"/>
              <w:bottom w:val="single" w:sz="4" w:space="0" w:color="auto"/>
            </w:tcBorders>
            <w:shd w:val="clear" w:color="auto" w:fill="FFFFFF" w:themeFill="background1"/>
          </w:tcPr>
          <w:p w14:paraId="092BBBDD" w14:textId="77777777" w:rsidR="006D1E6E" w:rsidRPr="008527D7" w:rsidRDefault="006D1E6E" w:rsidP="00B86CE7">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6DD2BA17" w14:textId="77777777"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shd w:val="clear" w:color="auto" w:fill="FFFFFF" w:themeFill="background1"/>
          </w:tcPr>
          <w:p w14:paraId="4839F606" w14:textId="470760E1" w:rsidR="006D1E6E" w:rsidRPr="008527D7" w:rsidRDefault="006D1E6E" w:rsidP="006D1E6E">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68CDACA2" w14:textId="77777777" w:rsidR="006D1E6E" w:rsidRDefault="006D1E6E" w:rsidP="00B86CE7">
            <w:pPr>
              <w:ind w:firstLine="0"/>
              <w:jc w:val="center"/>
              <w:rPr>
                <w:sz w:val="28"/>
                <w:szCs w:val="28"/>
              </w:rPr>
            </w:pPr>
            <w:r>
              <w:rPr>
                <w:sz w:val="28"/>
                <w:szCs w:val="28"/>
              </w:rPr>
              <w:t>X</w:t>
            </w:r>
          </w:p>
          <w:p w14:paraId="7579434F" w14:textId="77777777" w:rsidR="006D1E6E" w:rsidRDefault="006D1E6E" w:rsidP="00B86CE7">
            <w:pPr>
              <w:ind w:firstLine="0"/>
              <w:jc w:val="center"/>
              <w:rPr>
                <w:sz w:val="28"/>
                <w:szCs w:val="28"/>
              </w:rPr>
            </w:pPr>
          </w:p>
          <w:p w14:paraId="4818122E" w14:textId="77777777" w:rsidR="006D1E6E" w:rsidRPr="00DD4199" w:rsidRDefault="006D1E6E" w:rsidP="006D1E6E">
            <w:pPr>
              <w:ind w:firstLine="0"/>
              <w:jc w:val="center"/>
              <w:rPr>
                <w:b/>
                <w:bCs/>
                <w:sz w:val="18"/>
                <w:szCs w:val="18"/>
              </w:rPr>
            </w:pPr>
            <w:r w:rsidRPr="00DD4199">
              <w:rPr>
                <w:b/>
                <w:bCs/>
                <w:sz w:val="18"/>
                <w:szCs w:val="18"/>
              </w:rPr>
              <w:t>Kritēriji:</w:t>
            </w:r>
          </w:p>
          <w:p w14:paraId="72A00CC8" w14:textId="0945EEA1" w:rsidR="006D1E6E" w:rsidRPr="008527D7" w:rsidRDefault="003977D5" w:rsidP="006D1E6E">
            <w:pPr>
              <w:ind w:firstLine="0"/>
              <w:jc w:val="center"/>
              <w:rPr>
                <w:sz w:val="28"/>
                <w:szCs w:val="28"/>
              </w:rPr>
            </w:pPr>
            <w:r w:rsidRPr="003977D5">
              <w:rPr>
                <w:sz w:val="18"/>
                <w:szCs w:val="18"/>
              </w:rPr>
              <w:t>Nav izpildītas kapitāla prasības un netiek iesniegts vai pildīts plāns</w:t>
            </w:r>
          </w:p>
        </w:tc>
      </w:tr>
      <w:tr w:rsidR="006D1E6E" w:rsidRPr="008527D7" w14:paraId="4219F6E5" w14:textId="77777777" w:rsidTr="004D29C1">
        <w:trPr>
          <w:trHeight w:val="1262"/>
        </w:trPr>
        <w:tc>
          <w:tcPr>
            <w:tcW w:w="1717" w:type="dxa"/>
            <w:tcBorders>
              <w:top w:val="single" w:sz="4" w:space="0" w:color="auto"/>
              <w:left w:val="single" w:sz="4" w:space="0" w:color="auto"/>
              <w:bottom w:val="single" w:sz="4" w:space="0" w:color="auto"/>
            </w:tcBorders>
          </w:tcPr>
          <w:p w14:paraId="04432423" w14:textId="77777777" w:rsidR="006D1E6E" w:rsidRPr="006958E3" w:rsidRDefault="00F66C07" w:rsidP="00F66C07">
            <w:pPr>
              <w:ind w:firstLine="0"/>
              <w:rPr>
                <w:b/>
                <w:noProof/>
                <w:sz w:val="18"/>
                <w:szCs w:val="18"/>
              </w:rPr>
            </w:pPr>
            <w:r w:rsidRPr="006958E3">
              <w:rPr>
                <w:b/>
                <w:noProof/>
                <w:sz w:val="18"/>
                <w:szCs w:val="18"/>
              </w:rPr>
              <w:t>FITL</w:t>
            </w:r>
          </w:p>
          <w:p w14:paraId="772DACF2" w14:textId="46C9C2E7" w:rsidR="00F66C07" w:rsidRDefault="00F66C07" w:rsidP="00F66C07">
            <w:pPr>
              <w:ind w:firstLine="0"/>
              <w:rPr>
                <w:b/>
                <w:sz w:val="18"/>
                <w:szCs w:val="18"/>
              </w:rPr>
            </w:pPr>
            <w:r w:rsidRPr="006958E3">
              <w:rPr>
                <w:b/>
                <w:noProof/>
                <w:sz w:val="18"/>
                <w:szCs w:val="18"/>
              </w:rPr>
              <w:t>IBS likums</w:t>
            </w:r>
          </w:p>
        </w:tc>
        <w:tc>
          <w:tcPr>
            <w:tcW w:w="2409" w:type="dxa"/>
            <w:tcBorders>
              <w:top w:val="single" w:sz="4" w:space="0" w:color="auto"/>
              <w:bottom w:val="single" w:sz="4" w:space="0" w:color="auto"/>
            </w:tcBorders>
            <w:shd w:val="clear" w:color="auto" w:fill="FFFFFF" w:themeFill="background1"/>
          </w:tcPr>
          <w:p w14:paraId="2E50AB10" w14:textId="2804EC63" w:rsidR="006D1E6E" w:rsidRPr="00DD4199" w:rsidRDefault="00DD4199" w:rsidP="00B86CE7">
            <w:pPr>
              <w:ind w:firstLine="0"/>
              <w:jc w:val="left"/>
              <w:rPr>
                <w:b/>
                <w:sz w:val="18"/>
                <w:szCs w:val="18"/>
              </w:rPr>
            </w:pPr>
            <w:r>
              <w:rPr>
                <w:rFonts w:eastAsia="Calibri"/>
                <w:b/>
                <w:sz w:val="18"/>
                <w:szCs w:val="18"/>
              </w:rPr>
              <w:t xml:space="preserve">8. </w:t>
            </w:r>
            <w:r w:rsidR="006D1E6E" w:rsidRPr="00DD4199">
              <w:rPr>
                <w:rFonts w:eastAsia="Calibri"/>
                <w:b/>
                <w:sz w:val="18"/>
                <w:szCs w:val="18"/>
              </w:rPr>
              <w:t xml:space="preserve">Kapitāla prasība </w:t>
            </w:r>
            <w:r w:rsidR="00555E10">
              <w:rPr>
                <w:rFonts w:eastAsia="Calibri"/>
                <w:b/>
                <w:sz w:val="18"/>
                <w:szCs w:val="18"/>
              </w:rPr>
              <w:t>–</w:t>
            </w:r>
            <w:r w:rsidR="00555E10" w:rsidRPr="00DD4199">
              <w:rPr>
                <w:rFonts w:eastAsia="Calibri"/>
                <w:b/>
                <w:sz w:val="18"/>
                <w:szCs w:val="18"/>
              </w:rPr>
              <w:t xml:space="preserve"> </w:t>
            </w:r>
            <w:r w:rsidR="006D1E6E" w:rsidRPr="00DD4199">
              <w:rPr>
                <w:rFonts w:eastAsia="Calibri"/>
                <w:b/>
                <w:sz w:val="18"/>
                <w:szCs w:val="18"/>
              </w:rPr>
              <w:t>pārējie ar kapitāla prasību saistīti</w:t>
            </w:r>
            <w:r w:rsidR="00556DA4">
              <w:rPr>
                <w:rFonts w:eastAsia="Calibri"/>
                <w:b/>
                <w:sz w:val="18"/>
                <w:szCs w:val="18"/>
              </w:rPr>
              <w:t>e</w:t>
            </w:r>
            <w:r w:rsidR="006D1E6E" w:rsidRPr="00DD4199">
              <w:rPr>
                <w:rFonts w:eastAsia="Calibri"/>
                <w:b/>
                <w:sz w:val="18"/>
                <w:szCs w:val="18"/>
              </w:rPr>
              <w:t xml:space="preserve"> pārkāpumi (visi pārējie panti), kapitāla rezervju prasības</w:t>
            </w:r>
          </w:p>
        </w:tc>
        <w:tc>
          <w:tcPr>
            <w:tcW w:w="2410" w:type="dxa"/>
            <w:tcBorders>
              <w:top w:val="single" w:sz="4" w:space="0" w:color="auto"/>
              <w:bottom w:val="single" w:sz="4" w:space="0" w:color="auto"/>
            </w:tcBorders>
            <w:shd w:val="clear" w:color="auto" w:fill="FFFFFF" w:themeFill="background1"/>
          </w:tcPr>
          <w:p w14:paraId="67BF6073" w14:textId="77777777" w:rsidR="006D1E6E" w:rsidRPr="008527D7" w:rsidRDefault="006D1E6E" w:rsidP="00B86CE7">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33E3FB3D" w14:textId="77777777"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shd w:val="clear" w:color="auto" w:fill="FFFFFF" w:themeFill="background1"/>
          </w:tcPr>
          <w:p w14:paraId="4C2A165F" w14:textId="702B1117" w:rsidR="006D1E6E" w:rsidRPr="008527D7" w:rsidRDefault="006D1E6E" w:rsidP="00B86CE7">
            <w:pPr>
              <w:ind w:hanging="19"/>
              <w:jc w:val="center"/>
              <w:rPr>
                <w:sz w:val="28"/>
                <w:szCs w:val="28"/>
              </w:rPr>
            </w:pPr>
            <w:r>
              <w:rPr>
                <w:sz w:val="28"/>
                <w:szCs w:val="28"/>
              </w:rPr>
              <w:t>X</w:t>
            </w:r>
          </w:p>
        </w:tc>
        <w:tc>
          <w:tcPr>
            <w:tcW w:w="2409" w:type="dxa"/>
            <w:tcBorders>
              <w:top w:val="single" w:sz="4" w:space="0" w:color="auto"/>
              <w:bottom w:val="single" w:sz="4" w:space="0" w:color="auto"/>
              <w:right w:val="single" w:sz="4" w:space="0" w:color="auto"/>
            </w:tcBorders>
            <w:shd w:val="clear" w:color="auto" w:fill="FFFFFF" w:themeFill="background1"/>
          </w:tcPr>
          <w:p w14:paraId="05A911BB" w14:textId="77777777" w:rsidR="006D1E6E" w:rsidRPr="008527D7" w:rsidRDefault="006D1E6E" w:rsidP="00B86CE7">
            <w:pPr>
              <w:ind w:firstLine="0"/>
              <w:jc w:val="center"/>
              <w:rPr>
                <w:sz w:val="28"/>
                <w:szCs w:val="28"/>
              </w:rPr>
            </w:pPr>
          </w:p>
        </w:tc>
      </w:tr>
      <w:tr w:rsidR="00F66C07" w:rsidRPr="008527D7" w14:paraId="229DB726" w14:textId="77777777" w:rsidTr="00871983">
        <w:trPr>
          <w:trHeight w:val="1262"/>
        </w:trPr>
        <w:tc>
          <w:tcPr>
            <w:tcW w:w="1717" w:type="dxa"/>
            <w:tcBorders>
              <w:top w:val="single" w:sz="4" w:space="0" w:color="auto"/>
              <w:left w:val="single" w:sz="4" w:space="0" w:color="auto"/>
              <w:bottom w:val="single" w:sz="4" w:space="0" w:color="auto"/>
            </w:tcBorders>
          </w:tcPr>
          <w:p w14:paraId="11474678" w14:textId="77777777" w:rsidR="00F66C07" w:rsidRDefault="00F66C07" w:rsidP="00871983">
            <w:pPr>
              <w:ind w:firstLine="0"/>
              <w:jc w:val="left"/>
              <w:rPr>
                <w:b/>
                <w:sz w:val="18"/>
                <w:szCs w:val="18"/>
              </w:rPr>
            </w:pPr>
            <w:r>
              <w:rPr>
                <w:b/>
                <w:sz w:val="18"/>
                <w:szCs w:val="18"/>
              </w:rPr>
              <w:t>FITL</w:t>
            </w:r>
          </w:p>
          <w:p w14:paraId="32E05660" w14:textId="5F4E05DF" w:rsidR="00F66C07" w:rsidRDefault="00F66C07" w:rsidP="00871983">
            <w:pPr>
              <w:ind w:firstLine="0"/>
              <w:jc w:val="left"/>
              <w:rPr>
                <w:b/>
                <w:sz w:val="18"/>
                <w:szCs w:val="18"/>
              </w:rPr>
            </w:pPr>
            <w:r>
              <w:rPr>
                <w:b/>
                <w:sz w:val="18"/>
                <w:szCs w:val="18"/>
              </w:rPr>
              <w:t>IBS likums</w:t>
            </w:r>
          </w:p>
        </w:tc>
        <w:tc>
          <w:tcPr>
            <w:tcW w:w="2409" w:type="dxa"/>
            <w:tcBorders>
              <w:top w:val="single" w:sz="4" w:space="0" w:color="auto"/>
              <w:bottom w:val="single" w:sz="4" w:space="0" w:color="auto"/>
            </w:tcBorders>
            <w:shd w:val="clear" w:color="auto" w:fill="FFFFFF" w:themeFill="background1"/>
          </w:tcPr>
          <w:p w14:paraId="635E698E" w14:textId="08D0BFC8" w:rsidR="00F66C07" w:rsidRPr="00DD4199" w:rsidRDefault="00F66C07" w:rsidP="00871983">
            <w:pPr>
              <w:ind w:firstLine="0"/>
              <w:rPr>
                <w:b/>
                <w:sz w:val="18"/>
                <w:szCs w:val="18"/>
              </w:rPr>
            </w:pPr>
            <w:r>
              <w:rPr>
                <w:b/>
                <w:sz w:val="18"/>
                <w:szCs w:val="18"/>
              </w:rPr>
              <w:t xml:space="preserve">9. </w:t>
            </w:r>
            <w:r w:rsidRPr="00F66C07">
              <w:rPr>
                <w:b/>
                <w:sz w:val="18"/>
                <w:szCs w:val="18"/>
              </w:rPr>
              <w:t xml:space="preserve">Klientu līdzekļu </w:t>
            </w:r>
            <w:r w:rsidR="00567D04">
              <w:rPr>
                <w:b/>
                <w:sz w:val="18"/>
                <w:szCs w:val="18"/>
              </w:rPr>
              <w:t>turēšana</w:t>
            </w:r>
          </w:p>
        </w:tc>
        <w:tc>
          <w:tcPr>
            <w:tcW w:w="2410" w:type="dxa"/>
            <w:tcBorders>
              <w:top w:val="single" w:sz="4" w:space="0" w:color="auto"/>
              <w:bottom w:val="single" w:sz="4" w:space="0" w:color="auto"/>
            </w:tcBorders>
            <w:shd w:val="clear" w:color="auto" w:fill="FFFFFF" w:themeFill="background1"/>
          </w:tcPr>
          <w:p w14:paraId="38044DC5" w14:textId="77777777" w:rsidR="00F66C07" w:rsidRPr="008527D7" w:rsidRDefault="00F66C07" w:rsidP="00871983">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18284899" w14:textId="77777777" w:rsidR="00F66C07" w:rsidRPr="006D1E6E" w:rsidRDefault="00F66C07" w:rsidP="00871983">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5C75DABD" w14:textId="77777777" w:rsidR="00F66C07" w:rsidRDefault="00F66C07" w:rsidP="00871983">
            <w:pPr>
              <w:ind w:hanging="19"/>
              <w:jc w:val="center"/>
              <w:rPr>
                <w:sz w:val="28"/>
                <w:szCs w:val="28"/>
              </w:rPr>
            </w:pPr>
            <w:r>
              <w:rPr>
                <w:sz w:val="28"/>
                <w:szCs w:val="28"/>
              </w:rPr>
              <w:t>X</w:t>
            </w:r>
          </w:p>
          <w:p w14:paraId="3055779A" w14:textId="77777777" w:rsidR="00F66C07" w:rsidRDefault="00F66C07" w:rsidP="00871983">
            <w:pPr>
              <w:ind w:hanging="19"/>
              <w:jc w:val="center"/>
              <w:rPr>
                <w:sz w:val="28"/>
                <w:szCs w:val="28"/>
              </w:rPr>
            </w:pPr>
          </w:p>
          <w:p w14:paraId="1F44D0C0" w14:textId="0578218C" w:rsidR="00F66C07" w:rsidRDefault="00F66C07" w:rsidP="00871983">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6998B67D" w14:textId="79EBD496" w:rsidR="00F66C07" w:rsidRPr="008527D7" w:rsidRDefault="00F66C07" w:rsidP="00871983">
            <w:pPr>
              <w:ind w:firstLine="0"/>
              <w:jc w:val="center"/>
              <w:rPr>
                <w:sz w:val="28"/>
                <w:szCs w:val="28"/>
              </w:rPr>
            </w:pPr>
          </w:p>
        </w:tc>
      </w:tr>
      <w:tr w:rsidR="00C828E3" w:rsidRPr="008527D7" w14:paraId="7547CC89" w14:textId="77777777" w:rsidTr="004D29C1">
        <w:trPr>
          <w:trHeight w:val="1262"/>
        </w:trPr>
        <w:tc>
          <w:tcPr>
            <w:tcW w:w="1717" w:type="dxa"/>
            <w:tcBorders>
              <w:top w:val="single" w:sz="4" w:space="0" w:color="auto"/>
              <w:left w:val="single" w:sz="4" w:space="0" w:color="auto"/>
              <w:bottom w:val="single" w:sz="4" w:space="0" w:color="auto"/>
            </w:tcBorders>
          </w:tcPr>
          <w:p w14:paraId="1A2663E2" w14:textId="77777777" w:rsidR="00C828E3" w:rsidRPr="00F66C07" w:rsidRDefault="00F66C07" w:rsidP="00C828E3">
            <w:pPr>
              <w:ind w:firstLine="0"/>
              <w:jc w:val="left"/>
              <w:rPr>
                <w:b/>
                <w:sz w:val="18"/>
                <w:szCs w:val="18"/>
              </w:rPr>
            </w:pPr>
            <w:r w:rsidRPr="00F66C07">
              <w:rPr>
                <w:b/>
                <w:sz w:val="18"/>
                <w:szCs w:val="18"/>
              </w:rPr>
              <w:lastRenderedPageBreak/>
              <w:t>FITL</w:t>
            </w:r>
          </w:p>
          <w:p w14:paraId="6F666480" w14:textId="41429D88" w:rsidR="00F66C07" w:rsidRDefault="00F66C07" w:rsidP="00C828E3">
            <w:pPr>
              <w:ind w:firstLine="0"/>
              <w:jc w:val="left"/>
              <w:rPr>
                <w:b/>
                <w:sz w:val="18"/>
                <w:szCs w:val="18"/>
              </w:rPr>
            </w:pPr>
            <w:r w:rsidRPr="00F66C07">
              <w:rPr>
                <w:b/>
                <w:sz w:val="18"/>
                <w:szCs w:val="18"/>
              </w:rPr>
              <w:t>IBS likums</w:t>
            </w:r>
          </w:p>
        </w:tc>
        <w:tc>
          <w:tcPr>
            <w:tcW w:w="2409" w:type="dxa"/>
            <w:tcBorders>
              <w:top w:val="single" w:sz="4" w:space="0" w:color="auto"/>
              <w:bottom w:val="single" w:sz="4" w:space="0" w:color="auto"/>
            </w:tcBorders>
            <w:shd w:val="clear" w:color="auto" w:fill="FFFFFF" w:themeFill="background1"/>
          </w:tcPr>
          <w:p w14:paraId="462A69C0" w14:textId="5FED4FB4" w:rsidR="00C828E3" w:rsidRDefault="00C828E3" w:rsidP="00B86CE7">
            <w:pPr>
              <w:ind w:firstLine="0"/>
              <w:jc w:val="left"/>
              <w:rPr>
                <w:b/>
                <w:noProof/>
                <w:sz w:val="18"/>
                <w:szCs w:val="18"/>
              </w:rPr>
            </w:pPr>
            <w:r>
              <w:rPr>
                <w:b/>
                <w:noProof/>
                <w:sz w:val="18"/>
                <w:szCs w:val="18"/>
              </w:rPr>
              <w:t>1</w:t>
            </w:r>
            <w:r w:rsidR="00007340">
              <w:rPr>
                <w:b/>
                <w:noProof/>
                <w:sz w:val="18"/>
                <w:szCs w:val="18"/>
              </w:rPr>
              <w:t>0</w:t>
            </w:r>
            <w:r>
              <w:rPr>
                <w:b/>
                <w:noProof/>
                <w:sz w:val="18"/>
                <w:szCs w:val="18"/>
              </w:rPr>
              <w:t xml:space="preserve">. </w:t>
            </w:r>
            <w:r w:rsidRPr="00C828E3">
              <w:rPr>
                <w:b/>
                <w:noProof/>
                <w:sz w:val="18"/>
                <w:szCs w:val="18"/>
              </w:rPr>
              <w:t>Pārējās "</w:t>
            </w:r>
            <w:r w:rsidRPr="005D7931">
              <w:rPr>
                <w:b/>
                <w:i/>
                <w:iCs/>
                <w:noProof/>
                <w:sz w:val="18"/>
                <w:szCs w:val="18"/>
              </w:rPr>
              <w:t>Governance</w:t>
            </w:r>
            <w:r w:rsidRPr="00C828E3">
              <w:rPr>
                <w:b/>
                <w:noProof/>
                <w:sz w:val="18"/>
                <w:szCs w:val="18"/>
              </w:rPr>
              <w:t xml:space="preserve">" un </w:t>
            </w:r>
            <w:r w:rsidR="00556DA4">
              <w:rPr>
                <w:b/>
                <w:noProof/>
                <w:sz w:val="18"/>
                <w:szCs w:val="18"/>
              </w:rPr>
              <w:t>r</w:t>
            </w:r>
            <w:r w:rsidRPr="00C828E3">
              <w:rPr>
                <w:b/>
                <w:noProof/>
                <w:sz w:val="18"/>
                <w:szCs w:val="18"/>
              </w:rPr>
              <w:t>isku pārvaldības nepilnības (trūkumi)</w:t>
            </w:r>
          </w:p>
        </w:tc>
        <w:tc>
          <w:tcPr>
            <w:tcW w:w="2410" w:type="dxa"/>
            <w:tcBorders>
              <w:top w:val="single" w:sz="4" w:space="0" w:color="auto"/>
              <w:bottom w:val="single" w:sz="4" w:space="0" w:color="auto"/>
            </w:tcBorders>
            <w:shd w:val="clear" w:color="auto" w:fill="FFFFFF" w:themeFill="background1"/>
          </w:tcPr>
          <w:p w14:paraId="6427D047" w14:textId="77777777" w:rsidR="00C828E3" w:rsidRPr="008527D7" w:rsidRDefault="00C828E3" w:rsidP="00B86CE7">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666E125A" w14:textId="65F04C3C" w:rsidR="00C828E3" w:rsidRPr="00C828E3" w:rsidRDefault="00C828E3" w:rsidP="00B86CE7">
            <w:pPr>
              <w:ind w:firstLine="0"/>
              <w:jc w:val="center"/>
              <w:rPr>
                <w:sz w:val="28"/>
                <w:szCs w:val="28"/>
              </w:rPr>
            </w:pPr>
            <w:r w:rsidRPr="00C828E3">
              <w:rPr>
                <w:sz w:val="28"/>
                <w:szCs w:val="28"/>
              </w:rPr>
              <w:t>X</w:t>
            </w:r>
          </w:p>
        </w:tc>
        <w:tc>
          <w:tcPr>
            <w:tcW w:w="2410" w:type="dxa"/>
            <w:tcBorders>
              <w:top w:val="single" w:sz="4" w:space="0" w:color="auto"/>
              <w:bottom w:val="single" w:sz="4" w:space="0" w:color="auto"/>
            </w:tcBorders>
            <w:shd w:val="clear" w:color="auto" w:fill="FFFFFF" w:themeFill="background1"/>
          </w:tcPr>
          <w:p w14:paraId="27C2E961" w14:textId="77777777" w:rsidR="00C828E3" w:rsidRDefault="00C828E3" w:rsidP="00B86CE7">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7B7FEA2D" w14:textId="77777777" w:rsidR="00C828E3" w:rsidRDefault="00C828E3" w:rsidP="00DD4199">
            <w:pPr>
              <w:ind w:firstLine="0"/>
              <w:jc w:val="center"/>
              <w:rPr>
                <w:sz w:val="28"/>
                <w:szCs w:val="28"/>
              </w:rPr>
            </w:pPr>
          </w:p>
        </w:tc>
      </w:tr>
      <w:tr w:rsidR="006D1E6E" w:rsidRPr="008527D7" w14:paraId="5702EF67" w14:textId="77777777" w:rsidTr="00DD4199">
        <w:trPr>
          <w:trHeight w:val="1262"/>
        </w:trPr>
        <w:tc>
          <w:tcPr>
            <w:tcW w:w="1717" w:type="dxa"/>
            <w:tcBorders>
              <w:top w:val="single" w:sz="4" w:space="0" w:color="auto"/>
              <w:left w:val="single" w:sz="4" w:space="0" w:color="auto"/>
              <w:bottom w:val="single" w:sz="4" w:space="0" w:color="auto"/>
            </w:tcBorders>
          </w:tcPr>
          <w:p w14:paraId="49F54876" w14:textId="4DE29B53" w:rsidR="00C828E3" w:rsidRPr="006958E3" w:rsidRDefault="00F66C07" w:rsidP="00C828E3">
            <w:pPr>
              <w:ind w:firstLine="0"/>
              <w:rPr>
                <w:b/>
                <w:noProof/>
                <w:sz w:val="18"/>
                <w:szCs w:val="18"/>
              </w:rPr>
            </w:pPr>
            <w:r w:rsidRPr="00555E10">
              <w:rPr>
                <w:b/>
                <w:sz w:val="18"/>
                <w:szCs w:val="18"/>
              </w:rPr>
              <w:t>FITL</w:t>
            </w:r>
          </w:p>
          <w:p w14:paraId="06D0B057" w14:textId="13A2BB28" w:rsidR="006D1E6E" w:rsidRPr="00555E10" w:rsidRDefault="006D1E6E" w:rsidP="00B86CE7">
            <w:pPr>
              <w:ind w:firstLine="0"/>
              <w:jc w:val="left"/>
              <w:rPr>
                <w:b/>
                <w:sz w:val="18"/>
                <w:szCs w:val="18"/>
              </w:rPr>
            </w:pPr>
          </w:p>
        </w:tc>
        <w:tc>
          <w:tcPr>
            <w:tcW w:w="2409" w:type="dxa"/>
            <w:tcBorders>
              <w:top w:val="single" w:sz="4" w:space="0" w:color="auto"/>
              <w:bottom w:val="single" w:sz="4" w:space="0" w:color="auto"/>
            </w:tcBorders>
          </w:tcPr>
          <w:p w14:paraId="0F099E79" w14:textId="04B1B74B" w:rsidR="006D1E6E" w:rsidRPr="005C4C60" w:rsidRDefault="006D1E6E" w:rsidP="00B86CE7">
            <w:pPr>
              <w:ind w:firstLine="0"/>
              <w:jc w:val="left"/>
              <w:rPr>
                <w:b/>
                <w:sz w:val="18"/>
                <w:szCs w:val="18"/>
              </w:rPr>
            </w:pPr>
            <w:r>
              <w:rPr>
                <w:b/>
                <w:sz w:val="18"/>
                <w:szCs w:val="18"/>
              </w:rPr>
              <w:t>1</w:t>
            </w:r>
            <w:r w:rsidR="00007340">
              <w:rPr>
                <w:b/>
                <w:sz w:val="18"/>
                <w:szCs w:val="18"/>
              </w:rPr>
              <w:t>1</w:t>
            </w:r>
            <w:r>
              <w:rPr>
                <w:b/>
                <w:sz w:val="18"/>
                <w:szCs w:val="18"/>
              </w:rPr>
              <w:t xml:space="preserve">. </w:t>
            </w:r>
            <w:r w:rsidR="00F66C07" w:rsidRPr="00F66C07">
              <w:rPr>
                <w:b/>
                <w:sz w:val="18"/>
                <w:szCs w:val="18"/>
              </w:rPr>
              <w:t>Pārkāpumi, kas saistīti ar emitentiem un ieguldītājiem vai citām personām noteiktajām prasībām par informācijas atklāšanu un tās iesniegšanu (informācijas saturs vai tās sagatavošanas prasības vai tiesību aktos noteiktās prasības par to, kam informācija iesniedzama vai kur publicējama)</w:t>
            </w:r>
          </w:p>
          <w:p w14:paraId="7F114984" w14:textId="77777777" w:rsidR="006D1E6E" w:rsidRDefault="006D1E6E" w:rsidP="00B86CE7">
            <w:pPr>
              <w:ind w:firstLine="0"/>
              <w:jc w:val="left"/>
              <w:rPr>
                <w:i/>
                <w:sz w:val="18"/>
                <w:szCs w:val="18"/>
              </w:rPr>
            </w:pPr>
          </w:p>
          <w:p w14:paraId="553E4AAF" w14:textId="77777777" w:rsidR="006D1E6E" w:rsidRPr="008A1934" w:rsidRDefault="006D1E6E" w:rsidP="00B86CE7">
            <w:pPr>
              <w:ind w:firstLine="0"/>
              <w:jc w:val="left"/>
              <w:rPr>
                <w:sz w:val="18"/>
                <w:szCs w:val="18"/>
              </w:rPr>
            </w:pPr>
          </w:p>
        </w:tc>
        <w:tc>
          <w:tcPr>
            <w:tcW w:w="2410" w:type="dxa"/>
            <w:tcBorders>
              <w:top w:val="single" w:sz="4" w:space="0" w:color="auto"/>
              <w:bottom w:val="single" w:sz="4" w:space="0" w:color="auto"/>
            </w:tcBorders>
          </w:tcPr>
          <w:p w14:paraId="51C3ED9F" w14:textId="77777777" w:rsidR="006D1E6E" w:rsidRPr="008527D7" w:rsidRDefault="006D1E6E" w:rsidP="00B86CE7">
            <w:pPr>
              <w:ind w:firstLine="0"/>
              <w:jc w:val="center"/>
              <w:rPr>
                <w:sz w:val="28"/>
                <w:szCs w:val="28"/>
              </w:rPr>
            </w:pPr>
          </w:p>
        </w:tc>
        <w:tc>
          <w:tcPr>
            <w:tcW w:w="2410" w:type="dxa"/>
            <w:tcBorders>
              <w:top w:val="single" w:sz="4" w:space="0" w:color="auto"/>
              <w:bottom w:val="single" w:sz="4" w:space="0" w:color="auto"/>
            </w:tcBorders>
          </w:tcPr>
          <w:p w14:paraId="647FC2A1" w14:textId="5CFC9710" w:rsidR="006D1E6E" w:rsidRPr="00C828E3" w:rsidRDefault="00C828E3" w:rsidP="00B86CE7">
            <w:pPr>
              <w:ind w:firstLine="0"/>
              <w:jc w:val="center"/>
              <w:rPr>
                <w:sz w:val="28"/>
                <w:szCs w:val="28"/>
              </w:rPr>
            </w:pPr>
            <w:r w:rsidRPr="00C828E3">
              <w:rPr>
                <w:sz w:val="28"/>
                <w:szCs w:val="28"/>
              </w:rPr>
              <w:t>X</w:t>
            </w:r>
          </w:p>
          <w:p w14:paraId="6E194195" w14:textId="613C164E" w:rsidR="006D1E6E" w:rsidRPr="008527D7" w:rsidRDefault="006D1E6E" w:rsidP="00B86CE7">
            <w:pPr>
              <w:ind w:firstLine="0"/>
              <w:jc w:val="center"/>
              <w:rPr>
                <w:b/>
                <w:bCs/>
                <w:sz w:val="28"/>
                <w:szCs w:val="28"/>
              </w:rPr>
            </w:pPr>
          </w:p>
        </w:tc>
        <w:tc>
          <w:tcPr>
            <w:tcW w:w="2410" w:type="dxa"/>
            <w:tcBorders>
              <w:top w:val="single" w:sz="4" w:space="0" w:color="auto"/>
              <w:bottom w:val="single" w:sz="4" w:space="0" w:color="auto"/>
            </w:tcBorders>
          </w:tcPr>
          <w:p w14:paraId="59F5D1DC" w14:textId="77777777" w:rsidR="006D1E6E" w:rsidRPr="008527D7" w:rsidRDefault="006D1E6E" w:rsidP="00B86CE7">
            <w:pPr>
              <w:ind w:hanging="19"/>
              <w:jc w:val="center"/>
              <w:rPr>
                <w:sz w:val="28"/>
                <w:szCs w:val="28"/>
              </w:rPr>
            </w:pPr>
          </w:p>
        </w:tc>
        <w:tc>
          <w:tcPr>
            <w:tcW w:w="2409" w:type="dxa"/>
            <w:tcBorders>
              <w:top w:val="single" w:sz="4" w:space="0" w:color="auto"/>
              <w:bottom w:val="single" w:sz="4" w:space="0" w:color="auto"/>
              <w:right w:val="single" w:sz="4" w:space="0" w:color="auto"/>
            </w:tcBorders>
          </w:tcPr>
          <w:p w14:paraId="4680D1F1" w14:textId="77777777" w:rsidR="006D1E6E" w:rsidRPr="008527D7" w:rsidRDefault="006D1E6E" w:rsidP="00B86CE7">
            <w:pPr>
              <w:ind w:firstLine="0"/>
              <w:jc w:val="center"/>
              <w:rPr>
                <w:sz w:val="28"/>
                <w:szCs w:val="28"/>
              </w:rPr>
            </w:pPr>
          </w:p>
        </w:tc>
      </w:tr>
      <w:tr w:rsidR="006D1E6E" w:rsidRPr="008527D7" w14:paraId="1E4D92F8" w14:textId="77777777" w:rsidTr="00DD4199">
        <w:trPr>
          <w:trHeight w:val="698"/>
        </w:trPr>
        <w:tc>
          <w:tcPr>
            <w:tcW w:w="1717" w:type="dxa"/>
            <w:tcBorders>
              <w:top w:val="single" w:sz="4" w:space="0" w:color="auto"/>
              <w:left w:val="single" w:sz="4" w:space="0" w:color="auto"/>
              <w:bottom w:val="single" w:sz="4" w:space="0" w:color="auto"/>
            </w:tcBorders>
          </w:tcPr>
          <w:p w14:paraId="26A72EFE" w14:textId="4590ACF2" w:rsidR="006D1E6E" w:rsidRPr="00555E10" w:rsidRDefault="00372985" w:rsidP="00976260">
            <w:pPr>
              <w:ind w:firstLine="0"/>
              <w:jc w:val="left"/>
              <w:rPr>
                <w:b/>
                <w:sz w:val="18"/>
                <w:szCs w:val="18"/>
              </w:rPr>
            </w:pPr>
            <w:r w:rsidRPr="006958E3">
              <w:rPr>
                <w:b/>
                <w:noProof/>
                <w:sz w:val="18"/>
                <w:szCs w:val="18"/>
              </w:rPr>
              <w:t>FITL</w:t>
            </w:r>
          </w:p>
        </w:tc>
        <w:tc>
          <w:tcPr>
            <w:tcW w:w="2409" w:type="dxa"/>
            <w:tcBorders>
              <w:top w:val="single" w:sz="4" w:space="0" w:color="auto"/>
              <w:right w:val="single" w:sz="4" w:space="0" w:color="auto"/>
            </w:tcBorders>
          </w:tcPr>
          <w:p w14:paraId="76C28150" w14:textId="61D21FEA" w:rsidR="006D1E6E" w:rsidRDefault="00DD4199" w:rsidP="00B86CE7">
            <w:pPr>
              <w:ind w:firstLine="0"/>
              <w:jc w:val="left"/>
              <w:rPr>
                <w:i/>
                <w:sz w:val="18"/>
                <w:szCs w:val="18"/>
              </w:rPr>
            </w:pPr>
            <w:r>
              <w:rPr>
                <w:b/>
                <w:sz w:val="18"/>
                <w:szCs w:val="18"/>
              </w:rPr>
              <w:t>1</w:t>
            </w:r>
            <w:r w:rsidR="00007340">
              <w:rPr>
                <w:b/>
                <w:sz w:val="18"/>
                <w:szCs w:val="18"/>
              </w:rPr>
              <w:t>2</w:t>
            </w:r>
            <w:r w:rsidR="006D1E6E">
              <w:rPr>
                <w:b/>
                <w:sz w:val="18"/>
                <w:szCs w:val="18"/>
              </w:rPr>
              <w:t xml:space="preserve">. </w:t>
            </w:r>
            <w:r w:rsidR="00372985" w:rsidRPr="00372985">
              <w:rPr>
                <w:b/>
                <w:sz w:val="18"/>
                <w:szCs w:val="18"/>
              </w:rPr>
              <w:t>Regulētā tirgus organizētājiem, centrālajiem depozitārijiem noteikto prasību neievērošana</w:t>
            </w:r>
          </w:p>
          <w:p w14:paraId="1EE7DF5D" w14:textId="77777777" w:rsidR="006D1E6E" w:rsidRPr="008A1934" w:rsidRDefault="006D1E6E" w:rsidP="00B86CE7">
            <w:pPr>
              <w:ind w:firstLine="0"/>
              <w:jc w:val="left"/>
              <w:rPr>
                <w:sz w:val="18"/>
                <w:szCs w:val="18"/>
              </w:rPr>
            </w:pPr>
          </w:p>
        </w:tc>
        <w:tc>
          <w:tcPr>
            <w:tcW w:w="2410" w:type="dxa"/>
            <w:tcBorders>
              <w:top w:val="single" w:sz="4" w:space="0" w:color="auto"/>
              <w:left w:val="single" w:sz="4" w:space="0" w:color="auto"/>
              <w:right w:val="single" w:sz="4" w:space="0" w:color="auto"/>
            </w:tcBorders>
          </w:tcPr>
          <w:p w14:paraId="4070ABA8" w14:textId="77777777" w:rsidR="006D1E6E" w:rsidRPr="008527D7" w:rsidRDefault="006D1E6E" w:rsidP="00B86CE7">
            <w:pPr>
              <w:ind w:firstLine="0"/>
              <w:jc w:val="center"/>
              <w:rPr>
                <w:sz w:val="28"/>
                <w:szCs w:val="28"/>
              </w:rPr>
            </w:pPr>
          </w:p>
        </w:tc>
        <w:tc>
          <w:tcPr>
            <w:tcW w:w="2410" w:type="dxa"/>
            <w:tcBorders>
              <w:top w:val="single" w:sz="4" w:space="0" w:color="auto"/>
              <w:left w:val="single" w:sz="4" w:space="0" w:color="auto"/>
              <w:right w:val="single" w:sz="4" w:space="0" w:color="auto"/>
            </w:tcBorders>
          </w:tcPr>
          <w:p w14:paraId="3D7620B3" w14:textId="77777777" w:rsidR="006D1E6E" w:rsidRPr="008527D7" w:rsidRDefault="006D1E6E" w:rsidP="00B86CE7">
            <w:pPr>
              <w:ind w:firstLine="0"/>
              <w:jc w:val="center"/>
              <w:rPr>
                <w:sz w:val="28"/>
                <w:szCs w:val="28"/>
              </w:rPr>
            </w:pPr>
          </w:p>
        </w:tc>
        <w:tc>
          <w:tcPr>
            <w:tcW w:w="2410" w:type="dxa"/>
            <w:tcBorders>
              <w:top w:val="single" w:sz="4" w:space="0" w:color="auto"/>
              <w:left w:val="single" w:sz="4" w:space="0" w:color="auto"/>
              <w:right w:val="single" w:sz="4" w:space="0" w:color="auto"/>
            </w:tcBorders>
          </w:tcPr>
          <w:p w14:paraId="29782EB3" w14:textId="77777777" w:rsidR="006D1E6E" w:rsidRDefault="006D1E6E" w:rsidP="00B86CE7">
            <w:pPr>
              <w:ind w:firstLine="0"/>
              <w:jc w:val="center"/>
              <w:rPr>
                <w:sz w:val="28"/>
                <w:szCs w:val="28"/>
              </w:rPr>
            </w:pPr>
            <w:r w:rsidRPr="00976260">
              <w:rPr>
                <w:sz w:val="28"/>
                <w:szCs w:val="28"/>
              </w:rPr>
              <w:t>X</w:t>
            </w:r>
          </w:p>
          <w:p w14:paraId="77D1569B" w14:textId="3D71D6EA" w:rsidR="005E4BC6" w:rsidRPr="00976260" w:rsidRDefault="005E4BC6" w:rsidP="00B86CE7">
            <w:pPr>
              <w:ind w:firstLine="0"/>
              <w:jc w:val="center"/>
              <w:rPr>
                <w:sz w:val="28"/>
                <w:szCs w:val="28"/>
              </w:rPr>
            </w:pPr>
          </w:p>
        </w:tc>
        <w:tc>
          <w:tcPr>
            <w:tcW w:w="2409" w:type="dxa"/>
            <w:tcBorders>
              <w:top w:val="single" w:sz="4" w:space="0" w:color="auto"/>
              <w:left w:val="single" w:sz="4" w:space="0" w:color="auto"/>
              <w:right w:val="single" w:sz="4" w:space="0" w:color="auto"/>
            </w:tcBorders>
          </w:tcPr>
          <w:p w14:paraId="34F46182" w14:textId="77777777" w:rsidR="006D1E6E" w:rsidRPr="008527D7" w:rsidRDefault="006D1E6E" w:rsidP="00B86CE7">
            <w:pPr>
              <w:ind w:firstLine="0"/>
              <w:jc w:val="center"/>
              <w:rPr>
                <w:sz w:val="28"/>
                <w:szCs w:val="28"/>
              </w:rPr>
            </w:pPr>
          </w:p>
        </w:tc>
      </w:tr>
      <w:tr w:rsidR="006D1E6E" w:rsidRPr="008527D7" w14:paraId="0FD7F1E1" w14:textId="77777777" w:rsidTr="00007340">
        <w:trPr>
          <w:trHeight w:val="1692"/>
        </w:trPr>
        <w:tc>
          <w:tcPr>
            <w:tcW w:w="1717" w:type="dxa"/>
            <w:tcBorders>
              <w:top w:val="single" w:sz="4" w:space="0" w:color="auto"/>
              <w:left w:val="single" w:sz="4" w:space="0" w:color="auto"/>
              <w:bottom w:val="single" w:sz="4" w:space="0" w:color="auto"/>
            </w:tcBorders>
          </w:tcPr>
          <w:p w14:paraId="0C9C82E2" w14:textId="1F674456" w:rsidR="006D1E6E" w:rsidRPr="006958E3" w:rsidRDefault="00372985" w:rsidP="00976260">
            <w:pPr>
              <w:ind w:firstLine="0"/>
              <w:jc w:val="left"/>
              <w:rPr>
                <w:sz w:val="20"/>
                <w:szCs w:val="20"/>
              </w:rPr>
            </w:pPr>
            <w:r w:rsidRPr="006958E3">
              <w:rPr>
                <w:b/>
                <w:noProof/>
                <w:sz w:val="18"/>
                <w:szCs w:val="18"/>
              </w:rPr>
              <w:t>FITL</w:t>
            </w:r>
          </w:p>
          <w:p w14:paraId="6B55BEB0" w14:textId="77777777" w:rsidR="006D1E6E" w:rsidRPr="00EF2648" w:rsidRDefault="006D1E6E" w:rsidP="00B86CE7">
            <w:pPr>
              <w:ind w:firstLine="0"/>
              <w:jc w:val="left"/>
              <w:rPr>
                <w:sz w:val="18"/>
                <w:szCs w:val="18"/>
              </w:rPr>
            </w:pPr>
          </w:p>
        </w:tc>
        <w:tc>
          <w:tcPr>
            <w:tcW w:w="2409" w:type="dxa"/>
            <w:tcBorders>
              <w:top w:val="single" w:sz="4" w:space="0" w:color="auto"/>
            </w:tcBorders>
          </w:tcPr>
          <w:p w14:paraId="538154AE" w14:textId="24388444" w:rsidR="006D1E6E" w:rsidRPr="008A1934" w:rsidRDefault="00DD4199" w:rsidP="00B86CE7">
            <w:pPr>
              <w:ind w:firstLine="0"/>
              <w:jc w:val="left"/>
              <w:rPr>
                <w:b/>
                <w:sz w:val="18"/>
                <w:szCs w:val="18"/>
              </w:rPr>
            </w:pPr>
            <w:r>
              <w:rPr>
                <w:b/>
                <w:sz w:val="18"/>
                <w:szCs w:val="18"/>
              </w:rPr>
              <w:t>1</w:t>
            </w:r>
            <w:r w:rsidR="00007340">
              <w:rPr>
                <w:b/>
                <w:sz w:val="18"/>
                <w:szCs w:val="18"/>
              </w:rPr>
              <w:t>3</w:t>
            </w:r>
            <w:r w:rsidR="006D1E6E">
              <w:rPr>
                <w:b/>
                <w:sz w:val="18"/>
                <w:szCs w:val="18"/>
              </w:rPr>
              <w:t xml:space="preserve">. </w:t>
            </w:r>
            <w:r w:rsidR="00372985" w:rsidRPr="00372985">
              <w:rPr>
                <w:b/>
                <w:sz w:val="18"/>
                <w:szCs w:val="18"/>
              </w:rPr>
              <w:t>Pārkāpumi, kas saistīti ar publiskā piedāvājuma izteikšanu vai finanšu instrumentu publisku piedāvāšanu vai to iekļaušanu regulētajā tirgū, neievērojot tiesību aktos noteiktās prasība</w:t>
            </w:r>
            <w:r w:rsidR="00556DA4">
              <w:rPr>
                <w:b/>
                <w:sz w:val="18"/>
                <w:szCs w:val="18"/>
              </w:rPr>
              <w:t>s</w:t>
            </w:r>
          </w:p>
          <w:p w14:paraId="239A8309" w14:textId="77777777" w:rsidR="006D1E6E" w:rsidRDefault="006D1E6E" w:rsidP="00B86CE7">
            <w:pPr>
              <w:ind w:firstLine="0"/>
              <w:jc w:val="left"/>
              <w:rPr>
                <w:i/>
                <w:sz w:val="18"/>
                <w:szCs w:val="18"/>
              </w:rPr>
            </w:pPr>
          </w:p>
          <w:p w14:paraId="79A1B25A" w14:textId="77777777" w:rsidR="006D1E6E" w:rsidRPr="008A1934" w:rsidRDefault="006D1E6E" w:rsidP="00B86CE7">
            <w:pPr>
              <w:ind w:firstLine="0"/>
              <w:jc w:val="left"/>
              <w:rPr>
                <w:sz w:val="18"/>
                <w:szCs w:val="18"/>
              </w:rPr>
            </w:pPr>
          </w:p>
        </w:tc>
        <w:tc>
          <w:tcPr>
            <w:tcW w:w="2410" w:type="dxa"/>
            <w:tcBorders>
              <w:top w:val="single" w:sz="4" w:space="0" w:color="auto"/>
            </w:tcBorders>
          </w:tcPr>
          <w:p w14:paraId="4B442ED7" w14:textId="77777777" w:rsidR="006D1E6E" w:rsidRPr="008527D7" w:rsidRDefault="006D1E6E" w:rsidP="00B86CE7">
            <w:pPr>
              <w:ind w:firstLine="0"/>
              <w:jc w:val="center"/>
              <w:rPr>
                <w:sz w:val="28"/>
                <w:szCs w:val="28"/>
              </w:rPr>
            </w:pPr>
          </w:p>
        </w:tc>
        <w:tc>
          <w:tcPr>
            <w:tcW w:w="2410" w:type="dxa"/>
            <w:tcBorders>
              <w:top w:val="single" w:sz="4" w:space="0" w:color="auto"/>
            </w:tcBorders>
          </w:tcPr>
          <w:p w14:paraId="11C5C999" w14:textId="3CA86D87" w:rsidR="006D1E6E" w:rsidRPr="008527D7" w:rsidRDefault="006D1E6E" w:rsidP="00B86CE7">
            <w:pPr>
              <w:ind w:firstLine="0"/>
              <w:jc w:val="center"/>
              <w:rPr>
                <w:sz w:val="28"/>
                <w:szCs w:val="28"/>
              </w:rPr>
            </w:pPr>
          </w:p>
        </w:tc>
        <w:tc>
          <w:tcPr>
            <w:tcW w:w="2410" w:type="dxa"/>
            <w:tcBorders>
              <w:top w:val="single" w:sz="4" w:space="0" w:color="auto"/>
            </w:tcBorders>
          </w:tcPr>
          <w:p w14:paraId="204417DD" w14:textId="247E9C33" w:rsidR="006D1E6E" w:rsidRPr="008527D7" w:rsidRDefault="00372985" w:rsidP="00B86CE7">
            <w:pPr>
              <w:ind w:firstLine="0"/>
              <w:jc w:val="center"/>
              <w:rPr>
                <w:b/>
                <w:bCs/>
                <w:sz w:val="28"/>
                <w:szCs w:val="28"/>
              </w:rPr>
            </w:pPr>
            <w:r>
              <w:rPr>
                <w:sz w:val="28"/>
                <w:szCs w:val="28"/>
              </w:rPr>
              <w:t>X</w:t>
            </w:r>
          </w:p>
        </w:tc>
        <w:tc>
          <w:tcPr>
            <w:tcW w:w="2409" w:type="dxa"/>
            <w:tcBorders>
              <w:top w:val="single" w:sz="4" w:space="0" w:color="auto"/>
              <w:right w:val="single" w:sz="4" w:space="0" w:color="auto"/>
            </w:tcBorders>
          </w:tcPr>
          <w:p w14:paraId="6F544B41" w14:textId="77777777" w:rsidR="006D1E6E" w:rsidRPr="008527D7" w:rsidRDefault="006D1E6E" w:rsidP="00B86CE7">
            <w:pPr>
              <w:ind w:firstLine="0"/>
              <w:jc w:val="center"/>
              <w:rPr>
                <w:sz w:val="28"/>
                <w:szCs w:val="28"/>
              </w:rPr>
            </w:pPr>
          </w:p>
        </w:tc>
      </w:tr>
      <w:tr w:rsidR="006D1E6E" w:rsidRPr="008527D7" w14:paraId="11D1493F" w14:textId="77777777" w:rsidTr="00DD4199">
        <w:trPr>
          <w:trHeight w:val="107"/>
        </w:trPr>
        <w:tc>
          <w:tcPr>
            <w:tcW w:w="1717" w:type="dxa"/>
            <w:tcBorders>
              <w:top w:val="single" w:sz="4" w:space="0" w:color="auto"/>
              <w:left w:val="single" w:sz="4" w:space="0" w:color="auto"/>
              <w:bottom w:val="single" w:sz="4" w:space="0" w:color="auto"/>
            </w:tcBorders>
          </w:tcPr>
          <w:p w14:paraId="1BEC1FF9" w14:textId="782A29F3" w:rsidR="006D1E6E" w:rsidRPr="00976260" w:rsidRDefault="00372985" w:rsidP="00B86CE7">
            <w:pPr>
              <w:ind w:firstLine="0"/>
              <w:jc w:val="left"/>
              <w:rPr>
                <w:sz w:val="18"/>
                <w:szCs w:val="18"/>
              </w:rPr>
            </w:pPr>
            <w:r>
              <w:rPr>
                <w:b/>
                <w:noProof/>
                <w:sz w:val="18"/>
                <w:szCs w:val="18"/>
              </w:rPr>
              <w:t>FITL</w:t>
            </w:r>
          </w:p>
        </w:tc>
        <w:tc>
          <w:tcPr>
            <w:tcW w:w="2409" w:type="dxa"/>
            <w:tcBorders>
              <w:top w:val="single" w:sz="4" w:space="0" w:color="auto"/>
              <w:bottom w:val="single" w:sz="4" w:space="0" w:color="auto"/>
            </w:tcBorders>
          </w:tcPr>
          <w:p w14:paraId="4C9348A8" w14:textId="4C80BE9A" w:rsidR="006D1E6E" w:rsidRPr="00976260" w:rsidRDefault="00DD4199" w:rsidP="00B86CE7">
            <w:pPr>
              <w:ind w:firstLine="0"/>
              <w:jc w:val="left"/>
              <w:rPr>
                <w:b/>
                <w:sz w:val="18"/>
                <w:szCs w:val="18"/>
              </w:rPr>
            </w:pPr>
            <w:r w:rsidRPr="00976260">
              <w:rPr>
                <w:b/>
                <w:sz w:val="18"/>
                <w:szCs w:val="18"/>
              </w:rPr>
              <w:t>1</w:t>
            </w:r>
            <w:r w:rsidR="00007340">
              <w:rPr>
                <w:b/>
                <w:sz w:val="18"/>
                <w:szCs w:val="18"/>
              </w:rPr>
              <w:t>4</w:t>
            </w:r>
            <w:r w:rsidR="006D1E6E" w:rsidRPr="00976260">
              <w:rPr>
                <w:b/>
                <w:sz w:val="18"/>
                <w:szCs w:val="18"/>
              </w:rPr>
              <w:t xml:space="preserve">. </w:t>
            </w:r>
            <w:r w:rsidR="00372985" w:rsidRPr="00372985">
              <w:rPr>
                <w:b/>
                <w:noProof/>
                <w:sz w:val="18"/>
                <w:szCs w:val="18"/>
              </w:rPr>
              <w:t>Pārkāpumi, kas saistīti ar revīzijas komitejas izveidošanu un darbību</w:t>
            </w:r>
          </w:p>
          <w:p w14:paraId="49572D85" w14:textId="77777777" w:rsidR="006D1E6E" w:rsidRDefault="006D1E6E" w:rsidP="00B86CE7">
            <w:pPr>
              <w:ind w:firstLine="0"/>
              <w:jc w:val="left"/>
              <w:rPr>
                <w:i/>
                <w:sz w:val="18"/>
                <w:szCs w:val="18"/>
              </w:rPr>
            </w:pPr>
          </w:p>
          <w:p w14:paraId="307A3503" w14:textId="77777777" w:rsidR="006D1E6E" w:rsidRPr="008A1934" w:rsidRDefault="006D1E6E" w:rsidP="00B86CE7">
            <w:pPr>
              <w:ind w:firstLine="0"/>
              <w:jc w:val="left"/>
              <w:rPr>
                <w:sz w:val="18"/>
                <w:szCs w:val="18"/>
              </w:rPr>
            </w:pPr>
          </w:p>
        </w:tc>
        <w:tc>
          <w:tcPr>
            <w:tcW w:w="2410" w:type="dxa"/>
            <w:tcBorders>
              <w:top w:val="single" w:sz="4" w:space="0" w:color="auto"/>
              <w:bottom w:val="single" w:sz="4" w:space="0" w:color="auto"/>
            </w:tcBorders>
          </w:tcPr>
          <w:p w14:paraId="5B508AEE" w14:textId="77777777" w:rsidR="006D1E6E" w:rsidRPr="008527D7" w:rsidRDefault="006D1E6E" w:rsidP="00B86CE7">
            <w:pPr>
              <w:ind w:firstLine="0"/>
              <w:jc w:val="center"/>
              <w:rPr>
                <w:sz w:val="28"/>
                <w:szCs w:val="28"/>
              </w:rPr>
            </w:pPr>
          </w:p>
        </w:tc>
        <w:tc>
          <w:tcPr>
            <w:tcW w:w="2410" w:type="dxa"/>
            <w:tcBorders>
              <w:top w:val="single" w:sz="4" w:space="0" w:color="auto"/>
              <w:bottom w:val="single" w:sz="4" w:space="0" w:color="auto"/>
            </w:tcBorders>
          </w:tcPr>
          <w:p w14:paraId="014E7FF2" w14:textId="77777777" w:rsidR="00372985" w:rsidRDefault="00372985" w:rsidP="00372985">
            <w:pPr>
              <w:ind w:firstLine="0"/>
              <w:jc w:val="center"/>
              <w:rPr>
                <w:sz w:val="28"/>
                <w:szCs w:val="28"/>
              </w:rPr>
            </w:pPr>
            <w:r>
              <w:rPr>
                <w:sz w:val="28"/>
                <w:szCs w:val="28"/>
              </w:rPr>
              <w:t>X</w:t>
            </w:r>
          </w:p>
          <w:p w14:paraId="3BEEBA4E" w14:textId="527E6E90" w:rsidR="006D1E6E" w:rsidRPr="00E40773" w:rsidRDefault="006D1E6E" w:rsidP="00B86CE7">
            <w:pPr>
              <w:ind w:firstLine="0"/>
              <w:jc w:val="center"/>
              <w:rPr>
                <w:b/>
                <w:bCs/>
                <w:sz w:val="28"/>
                <w:szCs w:val="28"/>
              </w:rPr>
            </w:pPr>
          </w:p>
        </w:tc>
        <w:tc>
          <w:tcPr>
            <w:tcW w:w="2410" w:type="dxa"/>
            <w:tcBorders>
              <w:top w:val="single" w:sz="4" w:space="0" w:color="auto"/>
              <w:bottom w:val="single" w:sz="4" w:space="0" w:color="auto"/>
            </w:tcBorders>
          </w:tcPr>
          <w:p w14:paraId="506E271D" w14:textId="7CE8E1C6" w:rsidR="00976260" w:rsidRPr="008527D7" w:rsidRDefault="00976260" w:rsidP="00976260">
            <w:pPr>
              <w:ind w:firstLine="0"/>
              <w:jc w:val="center"/>
              <w:rPr>
                <w:sz w:val="28"/>
                <w:szCs w:val="28"/>
              </w:rPr>
            </w:pPr>
          </w:p>
        </w:tc>
        <w:tc>
          <w:tcPr>
            <w:tcW w:w="2409" w:type="dxa"/>
            <w:tcBorders>
              <w:top w:val="single" w:sz="4" w:space="0" w:color="auto"/>
              <w:bottom w:val="single" w:sz="4" w:space="0" w:color="auto"/>
              <w:right w:val="single" w:sz="4" w:space="0" w:color="auto"/>
            </w:tcBorders>
          </w:tcPr>
          <w:p w14:paraId="2CDF6924" w14:textId="3B8F13CC" w:rsidR="00976260" w:rsidRPr="00976260" w:rsidRDefault="00976260" w:rsidP="00B86CE7">
            <w:pPr>
              <w:ind w:firstLine="0"/>
              <w:jc w:val="center"/>
              <w:rPr>
                <w:sz w:val="18"/>
                <w:szCs w:val="18"/>
              </w:rPr>
            </w:pPr>
          </w:p>
        </w:tc>
      </w:tr>
      <w:tr w:rsidR="006D1E6E" w:rsidRPr="008527D7" w14:paraId="24A66C0F" w14:textId="77777777" w:rsidTr="00DD4199">
        <w:trPr>
          <w:trHeight w:val="728"/>
        </w:trPr>
        <w:tc>
          <w:tcPr>
            <w:tcW w:w="1717" w:type="dxa"/>
            <w:tcBorders>
              <w:top w:val="single" w:sz="4" w:space="0" w:color="auto"/>
              <w:left w:val="single" w:sz="4" w:space="0" w:color="auto"/>
              <w:bottom w:val="single" w:sz="4" w:space="0" w:color="auto"/>
              <w:right w:val="single" w:sz="4" w:space="0" w:color="auto"/>
            </w:tcBorders>
          </w:tcPr>
          <w:p w14:paraId="0BBD2687" w14:textId="77777777" w:rsidR="006D1E6E" w:rsidRDefault="00372985" w:rsidP="00976260">
            <w:pPr>
              <w:ind w:firstLine="0"/>
              <w:jc w:val="left"/>
              <w:rPr>
                <w:b/>
                <w:sz w:val="18"/>
                <w:szCs w:val="18"/>
              </w:rPr>
            </w:pPr>
            <w:r>
              <w:rPr>
                <w:b/>
                <w:sz w:val="18"/>
                <w:szCs w:val="18"/>
              </w:rPr>
              <w:t>FITL</w:t>
            </w:r>
          </w:p>
          <w:p w14:paraId="24F3AE16" w14:textId="1B1E687A" w:rsidR="00372985" w:rsidRPr="0036373E" w:rsidRDefault="00372985" w:rsidP="00976260">
            <w:pPr>
              <w:ind w:firstLine="0"/>
              <w:jc w:val="left"/>
              <w:rPr>
                <w:b/>
                <w:sz w:val="18"/>
                <w:szCs w:val="18"/>
              </w:rPr>
            </w:pPr>
            <w:r>
              <w:rPr>
                <w:b/>
                <w:sz w:val="18"/>
                <w:szCs w:val="18"/>
              </w:rPr>
              <w:t>IBS likums</w:t>
            </w:r>
          </w:p>
        </w:tc>
        <w:tc>
          <w:tcPr>
            <w:tcW w:w="2409" w:type="dxa"/>
            <w:tcBorders>
              <w:top w:val="single" w:sz="4" w:space="0" w:color="auto"/>
              <w:left w:val="single" w:sz="4" w:space="0" w:color="auto"/>
              <w:bottom w:val="single" w:sz="4" w:space="0" w:color="auto"/>
              <w:right w:val="single" w:sz="4" w:space="0" w:color="auto"/>
            </w:tcBorders>
          </w:tcPr>
          <w:p w14:paraId="336A3E50" w14:textId="0FE89367" w:rsidR="006D1E6E" w:rsidRPr="00F1232A" w:rsidRDefault="00DD4199" w:rsidP="00B86CE7">
            <w:pPr>
              <w:ind w:firstLine="0"/>
              <w:jc w:val="left"/>
              <w:rPr>
                <w:b/>
                <w:noProof/>
                <w:sz w:val="18"/>
                <w:szCs w:val="18"/>
              </w:rPr>
            </w:pPr>
            <w:r>
              <w:rPr>
                <w:b/>
                <w:noProof/>
                <w:sz w:val="18"/>
                <w:szCs w:val="18"/>
              </w:rPr>
              <w:t>1</w:t>
            </w:r>
            <w:r w:rsidR="00007340">
              <w:rPr>
                <w:b/>
                <w:noProof/>
                <w:sz w:val="18"/>
                <w:szCs w:val="18"/>
              </w:rPr>
              <w:t>5</w:t>
            </w:r>
            <w:r w:rsidR="006D1E6E">
              <w:rPr>
                <w:b/>
                <w:noProof/>
                <w:sz w:val="18"/>
                <w:szCs w:val="18"/>
              </w:rPr>
              <w:t xml:space="preserve">. </w:t>
            </w:r>
            <w:r w:rsidR="00372985" w:rsidRPr="00372985">
              <w:rPr>
                <w:b/>
                <w:noProof/>
                <w:sz w:val="18"/>
                <w:szCs w:val="18"/>
              </w:rPr>
              <w:t xml:space="preserve">Pārkāpumi, kas saistīti ar finanšu instrumentu tirgu regulējošajos tiesību </w:t>
            </w:r>
            <w:r w:rsidR="00372985" w:rsidRPr="00372985">
              <w:rPr>
                <w:b/>
                <w:noProof/>
                <w:sz w:val="18"/>
                <w:szCs w:val="18"/>
              </w:rPr>
              <w:lastRenderedPageBreak/>
              <w:t>aktos noteikto prasību neievērošanu, sniedzot ieguldījumu pakalpojumus un blakuspakalpojumus (</w:t>
            </w:r>
            <w:r w:rsidR="00372985" w:rsidRPr="006958E3">
              <w:rPr>
                <w:b/>
                <w:i/>
                <w:iCs/>
                <w:noProof/>
                <w:sz w:val="18"/>
                <w:szCs w:val="18"/>
              </w:rPr>
              <w:t>business conduct</w:t>
            </w:r>
            <w:r w:rsidR="00372985" w:rsidRPr="00372985">
              <w:rPr>
                <w:b/>
                <w:noProof/>
                <w:sz w:val="18"/>
                <w:szCs w:val="18"/>
              </w:rPr>
              <w:t>, t.sk. iekšējās kontroles sistēmas nepilnības)</w:t>
            </w:r>
          </w:p>
        </w:tc>
        <w:tc>
          <w:tcPr>
            <w:tcW w:w="2410" w:type="dxa"/>
            <w:tcBorders>
              <w:top w:val="single" w:sz="4" w:space="0" w:color="auto"/>
              <w:left w:val="single" w:sz="4" w:space="0" w:color="auto"/>
              <w:bottom w:val="single" w:sz="4" w:space="0" w:color="auto"/>
              <w:right w:val="single" w:sz="4" w:space="0" w:color="auto"/>
            </w:tcBorders>
          </w:tcPr>
          <w:p w14:paraId="0DE53F02" w14:textId="4620F944" w:rsidR="006D1E6E" w:rsidRPr="008527D7" w:rsidRDefault="006D1E6E"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2EAEEF31" w14:textId="748E2784" w:rsidR="006D1E6E" w:rsidRPr="002544B9" w:rsidRDefault="006D1E6E" w:rsidP="00B86CE7">
            <w:pPr>
              <w:ind w:firstLine="0"/>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081AFEE0" w14:textId="0C8EDE67" w:rsidR="006D1E6E" w:rsidRPr="008527D7" w:rsidRDefault="00372985" w:rsidP="00B86CE7">
            <w:pPr>
              <w:ind w:firstLine="0"/>
              <w:jc w:val="center"/>
              <w:rPr>
                <w:b/>
                <w:bCs/>
                <w:sz w:val="28"/>
                <w:szCs w:val="28"/>
              </w:rPr>
            </w:pPr>
            <w:r w:rsidRPr="002544B9">
              <w:rPr>
                <w:sz w:val="28"/>
                <w:szCs w:val="28"/>
              </w:rPr>
              <w:t>X</w:t>
            </w:r>
          </w:p>
        </w:tc>
        <w:tc>
          <w:tcPr>
            <w:tcW w:w="2409" w:type="dxa"/>
            <w:tcBorders>
              <w:top w:val="single" w:sz="4" w:space="0" w:color="auto"/>
              <w:left w:val="single" w:sz="4" w:space="0" w:color="auto"/>
              <w:bottom w:val="single" w:sz="4" w:space="0" w:color="auto"/>
              <w:right w:val="single" w:sz="4" w:space="0" w:color="auto"/>
            </w:tcBorders>
          </w:tcPr>
          <w:p w14:paraId="0EB08336" w14:textId="77777777" w:rsidR="006D1E6E" w:rsidRPr="008527D7" w:rsidRDefault="006D1E6E" w:rsidP="00B86CE7">
            <w:pPr>
              <w:ind w:firstLine="0"/>
              <w:jc w:val="center"/>
              <w:rPr>
                <w:sz w:val="28"/>
                <w:szCs w:val="28"/>
              </w:rPr>
            </w:pPr>
          </w:p>
        </w:tc>
      </w:tr>
      <w:tr w:rsidR="006D1E6E" w:rsidRPr="008527D7" w14:paraId="2325C592" w14:textId="77777777" w:rsidTr="00DD4199">
        <w:trPr>
          <w:trHeight w:val="1348"/>
        </w:trPr>
        <w:tc>
          <w:tcPr>
            <w:tcW w:w="1717" w:type="dxa"/>
            <w:tcBorders>
              <w:top w:val="single" w:sz="4" w:space="0" w:color="auto"/>
              <w:left w:val="single" w:sz="4" w:space="0" w:color="auto"/>
              <w:bottom w:val="single" w:sz="4" w:space="0" w:color="auto"/>
              <w:right w:val="single" w:sz="4" w:space="0" w:color="auto"/>
            </w:tcBorders>
          </w:tcPr>
          <w:p w14:paraId="38E9BC2B" w14:textId="77777777" w:rsidR="006D1E6E" w:rsidRDefault="00372985" w:rsidP="002544B9">
            <w:pPr>
              <w:ind w:firstLine="0"/>
              <w:jc w:val="left"/>
              <w:rPr>
                <w:b/>
                <w:sz w:val="18"/>
                <w:szCs w:val="18"/>
              </w:rPr>
            </w:pPr>
            <w:r>
              <w:rPr>
                <w:b/>
                <w:sz w:val="18"/>
                <w:szCs w:val="18"/>
              </w:rPr>
              <w:t>FITL</w:t>
            </w:r>
          </w:p>
          <w:p w14:paraId="1F8C5331" w14:textId="6460B011" w:rsidR="00372985" w:rsidRPr="00170B8F" w:rsidRDefault="00372985" w:rsidP="002544B9">
            <w:pPr>
              <w:ind w:firstLine="0"/>
              <w:jc w:val="left"/>
              <w:rPr>
                <w:b/>
                <w:sz w:val="18"/>
                <w:szCs w:val="18"/>
              </w:rPr>
            </w:pPr>
            <w:r>
              <w:rPr>
                <w:b/>
                <w:sz w:val="18"/>
                <w:szCs w:val="18"/>
              </w:rPr>
              <w:t>AAL</w:t>
            </w:r>
            <w:r>
              <w:rPr>
                <w:rStyle w:val="FootnoteReference"/>
                <w:b/>
                <w:sz w:val="18"/>
                <w:szCs w:val="18"/>
              </w:rPr>
              <w:footnoteReference w:id="4"/>
            </w:r>
          </w:p>
        </w:tc>
        <w:tc>
          <w:tcPr>
            <w:tcW w:w="2409" w:type="dxa"/>
            <w:tcBorders>
              <w:top w:val="single" w:sz="4" w:space="0" w:color="auto"/>
              <w:left w:val="single" w:sz="4" w:space="0" w:color="auto"/>
              <w:bottom w:val="single" w:sz="4" w:space="0" w:color="auto"/>
              <w:right w:val="single" w:sz="4" w:space="0" w:color="auto"/>
            </w:tcBorders>
          </w:tcPr>
          <w:p w14:paraId="65604D2C" w14:textId="2E17A002" w:rsidR="006D1E6E" w:rsidRPr="00C71D63" w:rsidRDefault="00DD4199" w:rsidP="00B86CE7">
            <w:pPr>
              <w:ind w:firstLine="0"/>
              <w:jc w:val="left"/>
              <w:rPr>
                <w:sz w:val="18"/>
                <w:szCs w:val="18"/>
              </w:rPr>
            </w:pPr>
            <w:r>
              <w:rPr>
                <w:b/>
                <w:sz w:val="18"/>
                <w:szCs w:val="18"/>
              </w:rPr>
              <w:t>1</w:t>
            </w:r>
            <w:r w:rsidR="00007340">
              <w:rPr>
                <w:b/>
                <w:sz w:val="18"/>
                <w:szCs w:val="18"/>
              </w:rPr>
              <w:t>6</w:t>
            </w:r>
            <w:r w:rsidR="006D1E6E">
              <w:rPr>
                <w:b/>
                <w:sz w:val="18"/>
                <w:szCs w:val="18"/>
              </w:rPr>
              <w:t xml:space="preserve">. </w:t>
            </w:r>
            <w:r w:rsidR="00372985">
              <w:rPr>
                <w:b/>
                <w:sz w:val="18"/>
                <w:szCs w:val="18"/>
              </w:rPr>
              <w:t>Pārkāpumi, kas saistīti ar obligāt</w:t>
            </w:r>
            <w:r w:rsidR="00556DA4">
              <w:rPr>
                <w:b/>
                <w:sz w:val="18"/>
                <w:szCs w:val="18"/>
              </w:rPr>
              <w:t>ā</w:t>
            </w:r>
            <w:r w:rsidR="00372985">
              <w:rPr>
                <w:b/>
                <w:sz w:val="18"/>
                <w:szCs w:val="18"/>
              </w:rPr>
              <w:t xml:space="preserve"> akciju atpirkšanas piedāvājuma neizteikšanu</w:t>
            </w:r>
          </w:p>
          <w:p w14:paraId="3A7D910A" w14:textId="77777777" w:rsidR="006D1E6E" w:rsidRPr="008A1934" w:rsidRDefault="006D1E6E" w:rsidP="00B86CE7">
            <w:pPr>
              <w:ind w:firstLine="24"/>
              <w:jc w:val="left"/>
              <w:rPr>
                <w:sz w:val="18"/>
                <w:szCs w:val="18"/>
              </w:rPr>
            </w:pPr>
          </w:p>
          <w:p w14:paraId="7E31F05D" w14:textId="77777777" w:rsidR="006D1E6E" w:rsidRDefault="006D1E6E" w:rsidP="00B86CE7">
            <w:pPr>
              <w:ind w:firstLine="0"/>
              <w:jc w:val="left"/>
              <w:rPr>
                <w:b/>
                <w:sz w:val="18"/>
                <w:szCs w:val="18"/>
              </w:rPr>
            </w:pPr>
          </w:p>
        </w:tc>
        <w:tc>
          <w:tcPr>
            <w:tcW w:w="2410" w:type="dxa"/>
            <w:tcBorders>
              <w:top w:val="single" w:sz="4" w:space="0" w:color="auto"/>
              <w:left w:val="single" w:sz="4" w:space="0" w:color="auto"/>
              <w:bottom w:val="single" w:sz="4" w:space="0" w:color="auto"/>
              <w:right w:val="single" w:sz="4" w:space="0" w:color="auto"/>
            </w:tcBorders>
          </w:tcPr>
          <w:p w14:paraId="5CDF27C7" w14:textId="77777777" w:rsidR="006D1E6E" w:rsidRPr="008527D7" w:rsidRDefault="006D1E6E"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7805F134" w14:textId="4CB30185" w:rsidR="006D1E6E" w:rsidRPr="002544B9" w:rsidRDefault="006D1E6E" w:rsidP="00B86CE7">
            <w:pPr>
              <w:ind w:firstLine="0"/>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17035805" w14:textId="056D1DE8" w:rsidR="006D1E6E" w:rsidRPr="008527D7" w:rsidRDefault="006D1E6E" w:rsidP="00B86CE7">
            <w:pPr>
              <w:ind w:firstLine="0"/>
              <w:jc w:val="center"/>
              <w:rPr>
                <w:b/>
                <w:b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765482AB" w14:textId="0C92BF8D" w:rsidR="006D1E6E" w:rsidRPr="008527D7" w:rsidRDefault="00372985" w:rsidP="00B86CE7">
            <w:pPr>
              <w:ind w:firstLine="0"/>
              <w:jc w:val="center"/>
              <w:rPr>
                <w:sz w:val="28"/>
                <w:szCs w:val="28"/>
              </w:rPr>
            </w:pPr>
            <w:r w:rsidRPr="002544B9">
              <w:rPr>
                <w:sz w:val="28"/>
                <w:szCs w:val="28"/>
              </w:rPr>
              <w:t>X</w:t>
            </w:r>
          </w:p>
        </w:tc>
      </w:tr>
      <w:tr w:rsidR="00372985" w:rsidRPr="008527D7" w14:paraId="3F4A46C3" w14:textId="77777777" w:rsidTr="00DD4199">
        <w:trPr>
          <w:trHeight w:val="1348"/>
        </w:trPr>
        <w:tc>
          <w:tcPr>
            <w:tcW w:w="1717" w:type="dxa"/>
            <w:tcBorders>
              <w:top w:val="single" w:sz="4" w:space="0" w:color="auto"/>
              <w:left w:val="single" w:sz="4" w:space="0" w:color="auto"/>
              <w:bottom w:val="single" w:sz="4" w:space="0" w:color="auto"/>
              <w:right w:val="single" w:sz="4" w:space="0" w:color="auto"/>
            </w:tcBorders>
          </w:tcPr>
          <w:p w14:paraId="309AB614" w14:textId="77777777" w:rsidR="00372985" w:rsidRDefault="00372985" w:rsidP="002544B9">
            <w:pPr>
              <w:ind w:firstLine="0"/>
              <w:jc w:val="left"/>
              <w:rPr>
                <w:b/>
                <w:sz w:val="18"/>
                <w:szCs w:val="18"/>
              </w:rPr>
            </w:pPr>
            <w:r>
              <w:rPr>
                <w:b/>
                <w:sz w:val="18"/>
                <w:szCs w:val="18"/>
              </w:rPr>
              <w:t>FITL</w:t>
            </w:r>
          </w:p>
          <w:p w14:paraId="31FF8575" w14:textId="0CAC5E65" w:rsidR="00372985" w:rsidRDefault="00372985" w:rsidP="002544B9">
            <w:pPr>
              <w:ind w:firstLine="0"/>
              <w:jc w:val="left"/>
              <w:rPr>
                <w:b/>
                <w:sz w:val="18"/>
                <w:szCs w:val="18"/>
              </w:rPr>
            </w:pPr>
            <w:r>
              <w:rPr>
                <w:b/>
                <w:sz w:val="18"/>
                <w:szCs w:val="18"/>
              </w:rPr>
              <w:t>AAL</w:t>
            </w:r>
          </w:p>
        </w:tc>
        <w:tc>
          <w:tcPr>
            <w:tcW w:w="2409" w:type="dxa"/>
            <w:tcBorders>
              <w:top w:val="single" w:sz="4" w:space="0" w:color="auto"/>
              <w:left w:val="single" w:sz="4" w:space="0" w:color="auto"/>
              <w:bottom w:val="single" w:sz="4" w:space="0" w:color="auto"/>
              <w:right w:val="single" w:sz="4" w:space="0" w:color="auto"/>
            </w:tcBorders>
          </w:tcPr>
          <w:p w14:paraId="32AF9FCA" w14:textId="684E1F6F" w:rsidR="00372985" w:rsidRDefault="00372985" w:rsidP="00B86CE7">
            <w:pPr>
              <w:ind w:firstLine="0"/>
              <w:jc w:val="left"/>
              <w:rPr>
                <w:b/>
                <w:sz w:val="18"/>
                <w:szCs w:val="18"/>
              </w:rPr>
            </w:pPr>
            <w:r>
              <w:rPr>
                <w:b/>
                <w:sz w:val="18"/>
                <w:szCs w:val="18"/>
              </w:rPr>
              <w:t>17. Citi pārkāpumi, kas saistīti ar akciju atpirkšanas piedāvājumu</w:t>
            </w:r>
          </w:p>
        </w:tc>
        <w:tc>
          <w:tcPr>
            <w:tcW w:w="2410" w:type="dxa"/>
            <w:tcBorders>
              <w:top w:val="single" w:sz="4" w:space="0" w:color="auto"/>
              <w:left w:val="single" w:sz="4" w:space="0" w:color="auto"/>
              <w:bottom w:val="single" w:sz="4" w:space="0" w:color="auto"/>
              <w:right w:val="single" w:sz="4" w:space="0" w:color="auto"/>
            </w:tcBorders>
          </w:tcPr>
          <w:p w14:paraId="1691CA66" w14:textId="77777777" w:rsidR="00372985" w:rsidRPr="008527D7" w:rsidRDefault="00372985"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720E5F80" w14:textId="0A4E3412" w:rsidR="00372985" w:rsidRPr="002544B9" w:rsidRDefault="00372985" w:rsidP="00B86CE7">
            <w:pPr>
              <w:ind w:firstLine="0"/>
              <w:jc w:val="center"/>
              <w:rPr>
                <w:sz w:val="28"/>
                <w:szCs w:val="28"/>
              </w:rPr>
            </w:pPr>
            <w:r w:rsidRPr="002544B9">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2C72B766" w14:textId="77777777" w:rsidR="00372985" w:rsidRPr="008527D7" w:rsidRDefault="00372985" w:rsidP="00B86CE7">
            <w:pPr>
              <w:ind w:firstLine="0"/>
              <w:jc w:val="center"/>
              <w:rPr>
                <w:b/>
                <w:b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47F28E4F" w14:textId="77777777" w:rsidR="00372985" w:rsidRPr="002544B9" w:rsidRDefault="00372985" w:rsidP="00B86CE7">
            <w:pPr>
              <w:ind w:firstLine="0"/>
              <w:jc w:val="center"/>
              <w:rPr>
                <w:sz w:val="28"/>
                <w:szCs w:val="28"/>
              </w:rPr>
            </w:pPr>
          </w:p>
        </w:tc>
      </w:tr>
      <w:tr w:rsidR="006D1E6E" w:rsidRPr="008527D7" w14:paraId="2A5FC690" w14:textId="77777777" w:rsidTr="00DD4199">
        <w:trPr>
          <w:trHeight w:val="1527"/>
        </w:trPr>
        <w:tc>
          <w:tcPr>
            <w:tcW w:w="1717" w:type="dxa"/>
            <w:tcBorders>
              <w:top w:val="single" w:sz="4" w:space="0" w:color="auto"/>
              <w:left w:val="single" w:sz="4" w:space="0" w:color="auto"/>
              <w:bottom w:val="single" w:sz="4" w:space="0" w:color="auto"/>
              <w:right w:val="single" w:sz="4" w:space="0" w:color="auto"/>
            </w:tcBorders>
          </w:tcPr>
          <w:p w14:paraId="1CB5BA84" w14:textId="6009CA96" w:rsidR="002544B9" w:rsidRPr="002544B9" w:rsidRDefault="002544B9" w:rsidP="002544B9">
            <w:pPr>
              <w:ind w:firstLine="0"/>
              <w:jc w:val="left"/>
              <w:rPr>
                <w:b/>
                <w:noProof/>
                <w:sz w:val="18"/>
                <w:szCs w:val="18"/>
              </w:rPr>
            </w:pPr>
            <w:r w:rsidRPr="002544B9">
              <w:rPr>
                <w:b/>
                <w:noProof/>
                <w:sz w:val="18"/>
                <w:szCs w:val="18"/>
              </w:rPr>
              <w:t>Regulas Nr.</w:t>
            </w:r>
            <w:r w:rsidR="0086524F">
              <w:rPr>
                <w:b/>
                <w:noProof/>
                <w:sz w:val="18"/>
                <w:szCs w:val="18"/>
              </w:rPr>
              <w:t> </w:t>
            </w:r>
            <w:r w:rsidRPr="002544B9">
              <w:rPr>
                <w:b/>
                <w:noProof/>
                <w:sz w:val="18"/>
                <w:szCs w:val="18"/>
              </w:rPr>
              <w:t>1286/2014</w:t>
            </w:r>
            <w:r>
              <w:rPr>
                <w:rStyle w:val="FootnoteReference"/>
                <w:b/>
                <w:noProof/>
                <w:sz w:val="18"/>
                <w:szCs w:val="18"/>
              </w:rPr>
              <w:footnoteReference w:id="5"/>
            </w:r>
            <w:r w:rsidRPr="002544B9">
              <w:rPr>
                <w:b/>
                <w:noProof/>
                <w:sz w:val="18"/>
                <w:szCs w:val="18"/>
              </w:rPr>
              <w:t xml:space="preserve">  24.</w:t>
            </w:r>
            <w:r w:rsidR="00556DA4">
              <w:rPr>
                <w:b/>
                <w:noProof/>
                <w:sz w:val="18"/>
                <w:szCs w:val="18"/>
              </w:rPr>
              <w:t> </w:t>
            </w:r>
            <w:r w:rsidRPr="002544B9">
              <w:rPr>
                <w:b/>
                <w:noProof/>
                <w:sz w:val="18"/>
                <w:szCs w:val="18"/>
              </w:rPr>
              <w:t>pantā minētie pārkāpumi</w:t>
            </w:r>
            <w:r w:rsidR="0086524F">
              <w:rPr>
                <w:b/>
                <w:noProof/>
                <w:sz w:val="18"/>
                <w:szCs w:val="18"/>
              </w:rPr>
              <w:t xml:space="preserve"> </w:t>
            </w:r>
          </w:p>
          <w:p w14:paraId="02C1153A" w14:textId="0D8C08CE" w:rsidR="002544B9" w:rsidRPr="002544B9" w:rsidRDefault="002544B9" w:rsidP="002544B9">
            <w:pPr>
              <w:ind w:firstLine="0"/>
              <w:jc w:val="left"/>
              <w:rPr>
                <w:b/>
                <w:noProof/>
                <w:sz w:val="18"/>
                <w:szCs w:val="18"/>
              </w:rPr>
            </w:pPr>
            <w:r w:rsidRPr="002544B9">
              <w:rPr>
                <w:b/>
                <w:noProof/>
                <w:sz w:val="18"/>
                <w:szCs w:val="18"/>
              </w:rPr>
              <w:t>[soda uzlikšan</w:t>
            </w:r>
            <w:r w:rsidR="00555E10">
              <w:rPr>
                <w:b/>
                <w:noProof/>
                <w:sz w:val="18"/>
                <w:szCs w:val="18"/>
              </w:rPr>
              <w:t>a</w:t>
            </w:r>
            <w:r w:rsidRPr="002544B9">
              <w:rPr>
                <w:b/>
                <w:noProof/>
                <w:sz w:val="18"/>
                <w:szCs w:val="18"/>
              </w:rPr>
              <w:t xml:space="preserve"> par </w:t>
            </w:r>
            <w:r w:rsidR="00555E10">
              <w:rPr>
                <w:b/>
                <w:noProof/>
                <w:sz w:val="18"/>
                <w:szCs w:val="18"/>
              </w:rPr>
              <w:t>r</w:t>
            </w:r>
            <w:r w:rsidRPr="002544B9">
              <w:rPr>
                <w:b/>
                <w:noProof/>
                <w:sz w:val="18"/>
                <w:szCs w:val="18"/>
              </w:rPr>
              <w:t>egulas prasību neievērošanu]</w:t>
            </w:r>
          </w:p>
          <w:p w14:paraId="4457F92F" w14:textId="6DBB2902" w:rsidR="002544B9" w:rsidRPr="002544B9" w:rsidRDefault="002544B9" w:rsidP="002544B9">
            <w:pPr>
              <w:ind w:firstLine="0"/>
              <w:jc w:val="left"/>
              <w:rPr>
                <w:b/>
                <w:noProof/>
                <w:sz w:val="18"/>
                <w:szCs w:val="18"/>
              </w:rPr>
            </w:pPr>
            <w:r w:rsidRPr="002544B9">
              <w:rPr>
                <w:b/>
                <w:noProof/>
                <w:sz w:val="18"/>
                <w:szCs w:val="18"/>
              </w:rPr>
              <w:t>5.</w:t>
            </w:r>
            <w:r w:rsidR="0086524F">
              <w:rPr>
                <w:b/>
                <w:noProof/>
                <w:sz w:val="18"/>
                <w:szCs w:val="18"/>
              </w:rPr>
              <w:t xml:space="preserve"> </w:t>
            </w:r>
            <w:r w:rsidRPr="002544B9">
              <w:rPr>
                <w:b/>
                <w:noProof/>
                <w:sz w:val="18"/>
                <w:szCs w:val="18"/>
              </w:rPr>
              <w:t xml:space="preserve">(1) [pamatinf. dok. atbilstība </w:t>
            </w:r>
            <w:r w:rsidR="00555E10">
              <w:rPr>
                <w:b/>
                <w:noProof/>
                <w:sz w:val="18"/>
                <w:szCs w:val="18"/>
              </w:rPr>
              <w:t>r</w:t>
            </w:r>
            <w:r w:rsidRPr="002544B9">
              <w:rPr>
                <w:b/>
                <w:noProof/>
                <w:sz w:val="18"/>
                <w:szCs w:val="18"/>
              </w:rPr>
              <w:t xml:space="preserve">egulas prasībām un public.] </w:t>
            </w:r>
          </w:p>
          <w:p w14:paraId="7DFF52DE" w14:textId="53BC1242" w:rsidR="002544B9" w:rsidRPr="002544B9" w:rsidRDefault="002544B9" w:rsidP="002544B9">
            <w:pPr>
              <w:ind w:firstLine="0"/>
              <w:jc w:val="left"/>
              <w:rPr>
                <w:b/>
                <w:noProof/>
                <w:sz w:val="18"/>
                <w:szCs w:val="18"/>
              </w:rPr>
            </w:pPr>
            <w:r w:rsidRPr="002544B9">
              <w:rPr>
                <w:b/>
                <w:noProof/>
                <w:sz w:val="18"/>
                <w:szCs w:val="18"/>
              </w:rPr>
              <w:t>6., 7., 8. (1</w:t>
            </w:r>
            <w:r w:rsidR="00555E10">
              <w:rPr>
                <w:b/>
                <w:noProof/>
                <w:sz w:val="18"/>
                <w:szCs w:val="18"/>
              </w:rPr>
              <w:t>–</w:t>
            </w:r>
            <w:r w:rsidRPr="002544B9">
              <w:rPr>
                <w:b/>
                <w:noProof/>
                <w:sz w:val="18"/>
                <w:szCs w:val="18"/>
              </w:rPr>
              <w:t>3), 9., 10. (1) [pamatinf. dok. forma un saturs]</w:t>
            </w:r>
          </w:p>
          <w:p w14:paraId="471B1AD7" w14:textId="77777777" w:rsidR="002544B9" w:rsidRPr="002544B9" w:rsidRDefault="002544B9" w:rsidP="002544B9">
            <w:pPr>
              <w:ind w:firstLine="0"/>
              <w:jc w:val="left"/>
              <w:rPr>
                <w:b/>
                <w:noProof/>
                <w:sz w:val="18"/>
                <w:szCs w:val="18"/>
              </w:rPr>
            </w:pPr>
            <w:r w:rsidRPr="002544B9">
              <w:rPr>
                <w:b/>
                <w:noProof/>
                <w:sz w:val="18"/>
                <w:szCs w:val="18"/>
              </w:rPr>
              <w:t>13. (1., 3. un 4.), 14. [pamatinf. dok. pieejamības nodrošin.]</w:t>
            </w:r>
          </w:p>
          <w:p w14:paraId="7B1937CB" w14:textId="75E17E3F" w:rsidR="006D1E6E" w:rsidRPr="00170B8F" w:rsidRDefault="002544B9" w:rsidP="002544B9">
            <w:pPr>
              <w:ind w:firstLine="0"/>
              <w:jc w:val="left"/>
              <w:rPr>
                <w:b/>
                <w:sz w:val="18"/>
                <w:szCs w:val="18"/>
              </w:rPr>
            </w:pPr>
            <w:r w:rsidRPr="002544B9">
              <w:rPr>
                <w:b/>
                <w:sz w:val="18"/>
                <w:szCs w:val="18"/>
              </w:rPr>
              <w:lastRenderedPageBreak/>
              <w:t>19. [sūdzību izskatīšanas process]</w:t>
            </w:r>
          </w:p>
        </w:tc>
        <w:tc>
          <w:tcPr>
            <w:tcW w:w="2409" w:type="dxa"/>
            <w:tcBorders>
              <w:top w:val="single" w:sz="4" w:space="0" w:color="auto"/>
              <w:left w:val="single" w:sz="4" w:space="0" w:color="auto"/>
              <w:bottom w:val="single" w:sz="4" w:space="0" w:color="auto"/>
              <w:right w:val="single" w:sz="4" w:space="0" w:color="auto"/>
            </w:tcBorders>
          </w:tcPr>
          <w:p w14:paraId="117E6B13" w14:textId="71156243" w:rsidR="006D1E6E" w:rsidRPr="00F1232A" w:rsidRDefault="00DD4199" w:rsidP="00B86CE7">
            <w:pPr>
              <w:ind w:firstLine="0"/>
              <w:jc w:val="left"/>
              <w:rPr>
                <w:b/>
                <w:sz w:val="18"/>
                <w:szCs w:val="18"/>
              </w:rPr>
            </w:pPr>
            <w:r>
              <w:rPr>
                <w:b/>
                <w:sz w:val="18"/>
                <w:szCs w:val="18"/>
              </w:rPr>
              <w:lastRenderedPageBreak/>
              <w:t>1</w:t>
            </w:r>
            <w:r w:rsidR="008278D3">
              <w:rPr>
                <w:b/>
                <w:sz w:val="18"/>
                <w:szCs w:val="18"/>
              </w:rPr>
              <w:t>8</w:t>
            </w:r>
            <w:r w:rsidR="006D1E6E">
              <w:rPr>
                <w:b/>
                <w:sz w:val="18"/>
                <w:szCs w:val="18"/>
              </w:rPr>
              <w:t xml:space="preserve">. </w:t>
            </w:r>
            <w:r w:rsidR="002544B9" w:rsidRPr="002544B9">
              <w:rPr>
                <w:b/>
                <w:sz w:val="18"/>
                <w:szCs w:val="18"/>
              </w:rPr>
              <w:t>Regulas Nr. 1286/2014 prasību neievērošana</w:t>
            </w:r>
          </w:p>
        </w:tc>
        <w:tc>
          <w:tcPr>
            <w:tcW w:w="2410" w:type="dxa"/>
            <w:tcBorders>
              <w:top w:val="single" w:sz="4" w:space="0" w:color="auto"/>
              <w:left w:val="single" w:sz="4" w:space="0" w:color="auto"/>
              <w:bottom w:val="single" w:sz="4" w:space="0" w:color="auto"/>
              <w:right w:val="single" w:sz="4" w:space="0" w:color="auto"/>
            </w:tcBorders>
          </w:tcPr>
          <w:p w14:paraId="39DE62FD" w14:textId="77777777" w:rsidR="006D1E6E" w:rsidRPr="008527D7" w:rsidRDefault="006D1E6E"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23884866" w14:textId="71F2C121" w:rsidR="006D1E6E" w:rsidRPr="00007340" w:rsidRDefault="002544B9" w:rsidP="00B86CE7">
            <w:pPr>
              <w:ind w:firstLine="0"/>
              <w:jc w:val="center"/>
              <w:rPr>
                <w:sz w:val="28"/>
                <w:szCs w:val="28"/>
              </w:rPr>
            </w:pPr>
            <w:r w:rsidRPr="00007340">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3E4E2548" w14:textId="08E7F053" w:rsidR="00DD4199" w:rsidRPr="00DD4199" w:rsidRDefault="00DD4199" w:rsidP="00B86CE7">
            <w:pPr>
              <w:ind w:firstLine="0"/>
              <w:jc w:val="center"/>
              <w:rPr>
                <w:b/>
                <w:bCs/>
                <w:sz w:val="18"/>
                <w:szCs w:val="18"/>
              </w:rPr>
            </w:pPr>
          </w:p>
        </w:tc>
        <w:tc>
          <w:tcPr>
            <w:tcW w:w="2409" w:type="dxa"/>
            <w:tcBorders>
              <w:top w:val="single" w:sz="4" w:space="0" w:color="auto"/>
              <w:left w:val="single" w:sz="4" w:space="0" w:color="auto"/>
              <w:bottom w:val="single" w:sz="4" w:space="0" w:color="auto"/>
              <w:right w:val="single" w:sz="4" w:space="0" w:color="auto"/>
            </w:tcBorders>
          </w:tcPr>
          <w:p w14:paraId="56F905C9" w14:textId="24AD4A6D" w:rsidR="00DD4199" w:rsidRPr="008527D7" w:rsidRDefault="00DD4199" w:rsidP="002544B9">
            <w:pPr>
              <w:ind w:firstLine="0"/>
              <w:jc w:val="center"/>
              <w:rPr>
                <w:b/>
                <w:bCs/>
                <w:sz w:val="28"/>
                <w:szCs w:val="28"/>
              </w:rPr>
            </w:pPr>
          </w:p>
        </w:tc>
      </w:tr>
      <w:tr w:rsidR="008278D3" w:rsidRPr="008527D7" w14:paraId="435AD964" w14:textId="77777777" w:rsidTr="00DD4199">
        <w:trPr>
          <w:trHeight w:val="1527"/>
        </w:trPr>
        <w:tc>
          <w:tcPr>
            <w:tcW w:w="1717" w:type="dxa"/>
            <w:tcBorders>
              <w:top w:val="single" w:sz="4" w:space="0" w:color="auto"/>
              <w:left w:val="single" w:sz="4" w:space="0" w:color="auto"/>
              <w:bottom w:val="single" w:sz="4" w:space="0" w:color="auto"/>
              <w:right w:val="single" w:sz="4" w:space="0" w:color="auto"/>
            </w:tcBorders>
          </w:tcPr>
          <w:p w14:paraId="38FCCECA" w14:textId="0E964074" w:rsidR="008278D3" w:rsidRPr="002544B9" w:rsidRDefault="008278D3" w:rsidP="002544B9">
            <w:pPr>
              <w:ind w:firstLine="0"/>
              <w:jc w:val="left"/>
              <w:rPr>
                <w:b/>
                <w:sz w:val="18"/>
                <w:szCs w:val="18"/>
              </w:rPr>
            </w:pPr>
            <w:r w:rsidRPr="008278D3">
              <w:rPr>
                <w:b/>
                <w:sz w:val="18"/>
                <w:szCs w:val="18"/>
              </w:rPr>
              <w:t>Regula Nr.</w:t>
            </w:r>
            <w:r w:rsidR="00555E10">
              <w:rPr>
                <w:b/>
                <w:sz w:val="18"/>
                <w:szCs w:val="18"/>
              </w:rPr>
              <w:t> </w:t>
            </w:r>
            <w:r w:rsidRPr="008278D3">
              <w:rPr>
                <w:b/>
                <w:sz w:val="18"/>
                <w:szCs w:val="18"/>
              </w:rPr>
              <w:t>596/2014 (MAR)</w:t>
            </w:r>
            <w:r>
              <w:rPr>
                <w:rStyle w:val="FootnoteReference"/>
                <w:b/>
                <w:sz w:val="18"/>
                <w:szCs w:val="18"/>
              </w:rPr>
              <w:footnoteReference w:id="6"/>
            </w:r>
          </w:p>
        </w:tc>
        <w:tc>
          <w:tcPr>
            <w:tcW w:w="2409" w:type="dxa"/>
            <w:tcBorders>
              <w:top w:val="single" w:sz="4" w:space="0" w:color="auto"/>
              <w:left w:val="single" w:sz="4" w:space="0" w:color="auto"/>
              <w:bottom w:val="single" w:sz="4" w:space="0" w:color="auto"/>
              <w:right w:val="single" w:sz="4" w:space="0" w:color="auto"/>
            </w:tcBorders>
          </w:tcPr>
          <w:p w14:paraId="5595FD8A" w14:textId="16334F31" w:rsidR="008278D3" w:rsidRDefault="00083B9A" w:rsidP="00B86CE7">
            <w:pPr>
              <w:ind w:firstLine="0"/>
              <w:jc w:val="left"/>
              <w:rPr>
                <w:b/>
                <w:sz w:val="18"/>
                <w:szCs w:val="18"/>
              </w:rPr>
            </w:pPr>
            <w:r>
              <w:rPr>
                <w:b/>
                <w:sz w:val="18"/>
                <w:szCs w:val="18"/>
              </w:rPr>
              <w:t xml:space="preserve">19. </w:t>
            </w:r>
            <w:r w:rsidR="008278D3">
              <w:rPr>
                <w:b/>
                <w:sz w:val="18"/>
                <w:szCs w:val="18"/>
              </w:rPr>
              <w:t xml:space="preserve">MAR </w:t>
            </w:r>
            <w:r w:rsidR="008278D3" w:rsidRPr="008278D3">
              <w:rPr>
                <w:b/>
                <w:sz w:val="18"/>
                <w:szCs w:val="18"/>
              </w:rPr>
              <w:t>14., 15.</w:t>
            </w:r>
            <w:r w:rsidR="008278D3">
              <w:rPr>
                <w:b/>
                <w:sz w:val="18"/>
                <w:szCs w:val="18"/>
              </w:rPr>
              <w:t xml:space="preserve"> </w:t>
            </w:r>
            <w:r w:rsidR="008278D3" w:rsidRPr="008278D3">
              <w:rPr>
                <w:b/>
                <w:sz w:val="18"/>
                <w:szCs w:val="18"/>
              </w:rPr>
              <w:t>pant</w:t>
            </w:r>
            <w:r w:rsidR="008278D3">
              <w:rPr>
                <w:b/>
                <w:sz w:val="18"/>
                <w:szCs w:val="18"/>
              </w:rPr>
              <w:t>a pārkāpums</w:t>
            </w:r>
          </w:p>
        </w:tc>
        <w:tc>
          <w:tcPr>
            <w:tcW w:w="2410" w:type="dxa"/>
            <w:tcBorders>
              <w:top w:val="single" w:sz="4" w:space="0" w:color="auto"/>
              <w:left w:val="single" w:sz="4" w:space="0" w:color="auto"/>
              <w:bottom w:val="single" w:sz="4" w:space="0" w:color="auto"/>
              <w:right w:val="single" w:sz="4" w:space="0" w:color="auto"/>
            </w:tcBorders>
          </w:tcPr>
          <w:p w14:paraId="762C6F05" w14:textId="77777777" w:rsidR="008278D3" w:rsidRPr="008527D7" w:rsidRDefault="008278D3"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21AC157E" w14:textId="77777777" w:rsidR="008278D3" w:rsidRPr="00007340" w:rsidRDefault="008278D3" w:rsidP="00B86CE7">
            <w:pPr>
              <w:ind w:firstLine="0"/>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1C15438" w14:textId="3C7F2AB6" w:rsidR="008278D3" w:rsidRPr="00DD4199" w:rsidRDefault="008278D3" w:rsidP="00B86CE7">
            <w:pPr>
              <w:ind w:firstLine="0"/>
              <w:jc w:val="center"/>
              <w:rPr>
                <w:b/>
                <w:bCs/>
                <w:sz w:val="18"/>
                <w:szCs w:val="18"/>
              </w:rPr>
            </w:pPr>
            <w:r w:rsidRPr="00007340">
              <w:rPr>
                <w:sz w:val="28"/>
                <w:szCs w:val="28"/>
              </w:rPr>
              <w:t>X</w:t>
            </w:r>
          </w:p>
        </w:tc>
        <w:tc>
          <w:tcPr>
            <w:tcW w:w="2409" w:type="dxa"/>
            <w:tcBorders>
              <w:top w:val="single" w:sz="4" w:space="0" w:color="auto"/>
              <w:left w:val="single" w:sz="4" w:space="0" w:color="auto"/>
              <w:bottom w:val="single" w:sz="4" w:space="0" w:color="auto"/>
              <w:right w:val="single" w:sz="4" w:space="0" w:color="auto"/>
            </w:tcBorders>
          </w:tcPr>
          <w:p w14:paraId="50C8D331" w14:textId="77777777" w:rsidR="008278D3" w:rsidRPr="008527D7" w:rsidRDefault="008278D3" w:rsidP="002544B9">
            <w:pPr>
              <w:ind w:firstLine="0"/>
              <w:jc w:val="center"/>
              <w:rPr>
                <w:b/>
                <w:bCs/>
                <w:sz w:val="28"/>
                <w:szCs w:val="28"/>
              </w:rPr>
            </w:pPr>
          </w:p>
        </w:tc>
      </w:tr>
      <w:tr w:rsidR="008278D3" w:rsidRPr="008527D7" w14:paraId="23337FEC" w14:textId="77777777" w:rsidTr="00DD4199">
        <w:trPr>
          <w:trHeight w:val="1527"/>
        </w:trPr>
        <w:tc>
          <w:tcPr>
            <w:tcW w:w="1717" w:type="dxa"/>
            <w:tcBorders>
              <w:top w:val="single" w:sz="4" w:space="0" w:color="auto"/>
              <w:left w:val="single" w:sz="4" w:space="0" w:color="auto"/>
              <w:bottom w:val="single" w:sz="4" w:space="0" w:color="auto"/>
              <w:right w:val="single" w:sz="4" w:space="0" w:color="auto"/>
            </w:tcBorders>
          </w:tcPr>
          <w:p w14:paraId="60550B90" w14:textId="35336221" w:rsidR="008278D3" w:rsidRPr="008278D3" w:rsidRDefault="008278D3" w:rsidP="002544B9">
            <w:pPr>
              <w:ind w:firstLine="0"/>
              <w:jc w:val="left"/>
              <w:rPr>
                <w:b/>
                <w:sz w:val="18"/>
                <w:szCs w:val="18"/>
              </w:rPr>
            </w:pPr>
            <w:r w:rsidRPr="008278D3">
              <w:rPr>
                <w:b/>
                <w:sz w:val="18"/>
                <w:szCs w:val="18"/>
              </w:rPr>
              <w:t>Regula Nr.</w:t>
            </w:r>
            <w:r w:rsidR="00555E10">
              <w:rPr>
                <w:b/>
                <w:sz w:val="18"/>
                <w:szCs w:val="18"/>
              </w:rPr>
              <w:t> </w:t>
            </w:r>
            <w:r w:rsidRPr="008278D3">
              <w:rPr>
                <w:b/>
                <w:sz w:val="18"/>
                <w:szCs w:val="18"/>
              </w:rPr>
              <w:t>596/2014 (MAR)</w:t>
            </w:r>
          </w:p>
        </w:tc>
        <w:tc>
          <w:tcPr>
            <w:tcW w:w="2409" w:type="dxa"/>
            <w:tcBorders>
              <w:top w:val="single" w:sz="4" w:space="0" w:color="auto"/>
              <w:left w:val="single" w:sz="4" w:space="0" w:color="auto"/>
              <w:bottom w:val="single" w:sz="4" w:space="0" w:color="auto"/>
              <w:right w:val="single" w:sz="4" w:space="0" w:color="auto"/>
            </w:tcBorders>
          </w:tcPr>
          <w:p w14:paraId="39A977B8" w14:textId="68297FAB" w:rsidR="008278D3" w:rsidRDefault="00083B9A" w:rsidP="00B86CE7">
            <w:pPr>
              <w:ind w:firstLine="0"/>
              <w:jc w:val="left"/>
              <w:rPr>
                <w:b/>
                <w:sz w:val="18"/>
                <w:szCs w:val="18"/>
              </w:rPr>
            </w:pPr>
            <w:r>
              <w:rPr>
                <w:b/>
                <w:sz w:val="18"/>
                <w:szCs w:val="18"/>
              </w:rPr>
              <w:t xml:space="preserve">20. </w:t>
            </w:r>
            <w:r w:rsidR="008278D3">
              <w:rPr>
                <w:b/>
                <w:sz w:val="18"/>
                <w:szCs w:val="18"/>
              </w:rPr>
              <w:t xml:space="preserve">MAR </w:t>
            </w:r>
            <w:r w:rsidR="008278D3" w:rsidRPr="008278D3">
              <w:rPr>
                <w:b/>
                <w:sz w:val="18"/>
                <w:szCs w:val="18"/>
              </w:rPr>
              <w:t>16.</w:t>
            </w:r>
            <w:r w:rsidR="00556DA4">
              <w:rPr>
                <w:b/>
                <w:sz w:val="18"/>
                <w:szCs w:val="18"/>
              </w:rPr>
              <w:t xml:space="preserve"> </w:t>
            </w:r>
            <w:r w:rsidR="008278D3" w:rsidRPr="008278D3">
              <w:rPr>
                <w:b/>
                <w:sz w:val="18"/>
                <w:szCs w:val="18"/>
              </w:rPr>
              <w:t>panta 1. vai 2.</w:t>
            </w:r>
            <w:r w:rsidR="006A1BC0">
              <w:rPr>
                <w:b/>
                <w:sz w:val="18"/>
                <w:szCs w:val="18"/>
              </w:rPr>
              <w:t> </w:t>
            </w:r>
            <w:r w:rsidR="008278D3" w:rsidRPr="008278D3">
              <w:rPr>
                <w:b/>
                <w:sz w:val="18"/>
                <w:szCs w:val="18"/>
              </w:rPr>
              <w:t>punkt</w:t>
            </w:r>
            <w:r w:rsidR="008278D3">
              <w:rPr>
                <w:b/>
                <w:sz w:val="18"/>
                <w:szCs w:val="18"/>
              </w:rPr>
              <w:t>a</w:t>
            </w:r>
            <w:r w:rsidR="008278D3" w:rsidRPr="008278D3">
              <w:rPr>
                <w:b/>
                <w:sz w:val="18"/>
                <w:szCs w:val="18"/>
              </w:rPr>
              <w:t xml:space="preserve"> </w:t>
            </w:r>
            <w:r w:rsidR="008278D3">
              <w:rPr>
                <w:b/>
                <w:sz w:val="18"/>
                <w:szCs w:val="18"/>
              </w:rPr>
              <w:t>pārkāpums</w:t>
            </w:r>
          </w:p>
        </w:tc>
        <w:tc>
          <w:tcPr>
            <w:tcW w:w="2410" w:type="dxa"/>
            <w:tcBorders>
              <w:top w:val="single" w:sz="4" w:space="0" w:color="auto"/>
              <w:left w:val="single" w:sz="4" w:space="0" w:color="auto"/>
              <w:bottom w:val="single" w:sz="4" w:space="0" w:color="auto"/>
              <w:right w:val="single" w:sz="4" w:space="0" w:color="auto"/>
            </w:tcBorders>
          </w:tcPr>
          <w:p w14:paraId="3562909B" w14:textId="77777777" w:rsidR="008278D3" w:rsidRPr="008527D7" w:rsidRDefault="008278D3"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21525E15" w14:textId="197D0708" w:rsidR="008278D3" w:rsidRPr="00007340" w:rsidRDefault="008278D3" w:rsidP="00B86CE7">
            <w:pPr>
              <w:ind w:firstLine="0"/>
              <w:jc w:val="center"/>
              <w:rPr>
                <w:sz w:val="28"/>
                <w:szCs w:val="28"/>
              </w:rPr>
            </w:pPr>
            <w:r w:rsidRPr="00007340">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6FF001F3" w14:textId="77777777" w:rsidR="008278D3" w:rsidRPr="00007340" w:rsidRDefault="008278D3" w:rsidP="00B86CE7">
            <w:pPr>
              <w:ind w:firstLine="0"/>
              <w:jc w:val="center"/>
              <w:rPr>
                <w:sz w:val="28"/>
                <w:szCs w:val="28"/>
              </w:rPr>
            </w:pPr>
          </w:p>
        </w:tc>
        <w:tc>
          <w:tcPr>
            <w:tcW w:w="2409" w:type="dxa"/>
            <w:tcBorders>
              <w:top w:val="single" w:sz="4" w:space="0" w:color="auto"/>
              <w:left w:val="single" w:sz="4" w:space="0" w:color="auto"/>
              <w:bottom w:val="single" w:sz="4" w:space="0" w:color="auto"/>
              <w:right w:val="single" w:sz="4" w:space="0" w:color="auto"/>
            </w:tcBorders>
          </w:tcPr>
          <w:p w14:paraId="6587BB90" w14:textId="77777777" w:rsidR="008278D3" w:rsidRPr="008527D7" w:rsidRDefault="008278D3" w:rsidP="002544B9">
            <w:pPr>
              <w:ind w:firstLine="0"/>
              <w:jc w:val="center"/>
              <w:rPr>
                <w:b/>
                <w:bCs/>
                <w:sz w:val="28"/>
                <w:szCs w:val="28"/>
              </w:rPr>
            </w:pPr>
          </w:p>
        </w:tc>
      </w:tr>
      <w:tr w:rsidR="008278D3" w:rsidRPr="008527D7" w14:paraId="59DC6D8E" w14:textId="77777777" w:rsidTr="00DD4199">
        <w:trPr>
          <w:trHeight w:val="1527"/>
        </w:trPr>
        <w:tc>
          <w:tcPr>
            <w:tcW w:w="1717" w:type="dxa"/>
            <w:tcBorders>
              <w:top w:val="single" w:sz="4" w:space="0" w:color="auto"/>
              <w:left w:val="single" w:sz="4" w:space="0" w:color="auto"/>
              <w:bottom w:val="single" w:sz="4" w:space="0" w:color="auto"/>
              <w:right w:val="single" w:sz="4" w:space="0" w:color="auto"/>
            </w:tcBorders>
          </w:tcPr>
          <w:p w14:paraId="59A466DC" w14:textId="1B13A98D" w:rsidR="008278D3" w:rsidRPr="008278D3" w:rsidRDefault="008278D3" w:rsidP="002544B9">
            <w:pPr>
              <w:ind w:firstLine="0"/>
              <w:jc w:val="left"/>
              <w:rPr>
                <w:b/>
                <w:sz w:val="18"/>
                <w:szCs w:val="18"/>
              </w:rPr>
            </w:pPr>
            <w:r w:rsidRPr="008278D3">
              <w:rPr>
                <w:b/>
                <w:sz w:val="18"/>
                <w:szCs w:val="18"/>
              </w:rPr>
              <w:t>Regula Nr.</w:t>
            </w:r>
            <w:r w:rsidR="00555E10">
              <w:rPr>
                <w:b/>
                <w:sz w:val="18"/>
                <w:szCs w:val="18"/>
              </w:rPr>
              <w:t> </w:t>
            </w:r>
            <w:r w:rsidRPr="008278D3">
              <w:rPr>
                <w:b/>
                <w:sz w:val="18"/>
                <w:szCs w:val="18"/>
              </w:rPr>
              <w:t>596/2014 (MAR)</w:t>
            </w:r>
          </w:p>
        </w:tc>
        <w:tc>
          <w:tcPr>
            <w:tcW w:w="2409" w:type="dxa"/>
            <w:tcBorders>
              <w:top w:val="single" w:sz="4" w:space="0" w:color="auto"/>
              <w:left w:val="single" w:sz="4" w:space="0" w:color="auto"/>
              <w:bottom w:val="single" w:sz="4" w:space="0" w:color="auto"/>
              <w:right w:val="single" w:sz="4" w:space="0" w:color="auto"/>
            </w:tcBorders>
          </w:tcPr>
          <w:p w14:paraId="130AE3CF" w14:textId="0872DB41" w:rsidR="008278D3" w:rsidRDefault="00083B9A" w:rsidP="00B86CE7">
            <w:pPr>
              <w:ind w:firstLine="0"/>
              <w:jc w:val="left"/>
              <w:rPr>
                <w:b/>
                <w:sz w:val="18"/>
                <w:szCs w:val="18"/>
              </w:rPr>
            </w:pPr>
            <w:r>
              <w:rPr>
                <w:b/>
                <w:sz w:val="18"/>
                <w:szCs w:val="18"/>
              </w:rPr>
              <w:t xml:space="preserve">21. </w:t>
            </w:r>
            <w:r w:rsidR="008278D3">
              <w:rPr>
                <w:b/>
                <w:sz w:val="18"/>
                <w:szCs w:val="18"/>
              </w:rPr>
              <w:t xml:space="preserve">MAR </w:t>
            </w:r>
            <w:r w:rsidR="008278D3" w:rsidRPr="008278D3">
              <w:rPr>
                <w:b/>
                <w:sz w:val="18"/>
                <w:szCs w:val="18"/>
              </w:rPr>
              <w:t>17.</w:t>
            </w:r>
            <w:r w:rsidR="008278D3">
              <w:rPr>
                <w:b/>
                <w:sz w:val="18"/>
                <w:szCs w:val="18"/>
              </w:rPr>
              <w:t xml:space="preserve"> </w:t>
            </w:r>
            <w:r w:rsidR="008278D3" w:rsidRPr="008278D3">
              <w:rPr>
                <w:b/>
                <w:sz w:val="18"/>
                <w:szCs w:val="18"/>
              </w:rPr>
              <w:t>panta 1., 2., 4., 5. vai 8.</w:t>
            </w:r>
            <w:r w:rsidR="00556DA4">
              <w:rPr>
                <w:b/>
                <w:sz w:val="18"/>
                <w:szCs w:val="18"/>
              </w:rPr>
              <w:t xml:space="preserve"> </w:t>
            </w:r>
            <w:r w:rsidR="008278D3" w:rsidRPr="008278D3">
              <w:rPr>
                <w:b/>
                <w:sz w:val="18"/>
                <w:szCs w:val="18"/>
              </w:rPr>
              <w:t>punkt</w:t>
            </w:r>
            <w:r w:rsidR="008278D3">
              <w:rPr>
                <w:b/>
                <w:sz w:val="18"/>
                <w:szCs w:val="18"/>
              </w:rPr>
              <w:t>a pārkāpums</w:t>
            </w:r>
          </w:p>
        </w:tc>
        <w:tc>
          <w:tcPr>
            <w:tcW w:w="2410" w:type="dxa"/>
            <w:tcBorders>
              <w:top w:val="single" w:sz="4" w:space="0" w:color="auto"/>
              <w:left w:val="single" w:sz="4" w:space="0" w:color="auto"/>
              <w:bottom w:val="single" w:sz="4" w:space="0" w:color="auto"/>
              <w:right w:val="single" w:sz="4" w:space="0" w:color="auto"/>
            </w:tcBorders>
          </w:tcPr>
          <w:p w14:paraId="23D24688" w14:textId="77777777" w:rsidR="008278D3" w:rsidRPr="008527D7" w:rsidRDefault="008278D3"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54E88A13" w14:textId="77777777" w:rsidR="008278D3" w:rsidRPr="00007340" w:rsidRDefault="008278D3" w:rsidP="00B86CE7">
            <w:pPr>
              <w:ind w:firstLine="0"/>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7805DD5B" w14:textId="30A58E41" w:rsidR="008278D3" w:rsidRPr="00007340" w:rsidRDefault="008278D3" w:rsidP="00B86CE7">
            <w:pPr>
              <w:ind w:firstLine="0"/>
              <w:jc w:val="center"/>
              <w:rPr>
                <w:sz w:val="28"/>
                <w:szCs w:val="28"/>
              </w:rPr>
            </w:pPr>
            <w:r w:rsidRPr="00007340">
              <w:rPr>
                <w:sz w:val="28"/>
                <w:szCs w:val="28"/>
              </w:rPr>
              <w:t>X</w:t>
            </w:r>
          </w:p>
        </w:tc>
        <w:tc>
          <w:tcPr>
            <w:tcW w:w="2409" w:type="dxa"/>
            <w:tcBorders>
              <w:top w:val="single" w:sz="4" w:space="0" w:color="auto"/>
              <w:left w:val="single" w:sz="4" w:space="0" w:color="auto"/>
              <w:bottom w:val="single" w:sz="4" w:space="0" w:color="auto"/>
              <w:right w:val="single" w:sz="4" w:space="0" w:color="auto"/>
            </w:tcBorders>
          </w:tcPr>
          <w:p w14:paraId="1409DFD3" w14:textId="77777777" w:rsidR="008278D3" w:rsidRPr="008527D7" w:rsidRDefault="008278D3" w:rsidP="002544B9">
            <w:pPr>
              <w:ind w:firstLine="0"/>
              <w:jc w:val="center"/>
              <w:rPr>
                <w:b/>
                <w:bCs/>
                <w:sz w:val="28"/>
                <w:szCs w:val="28"/>
              </w:rPr>
            </w:pPr>
          </w:p>
        </w:tc>
      </w:tr>
      <w:tr w:rsidR="008278D3" w:rsidRPr="008527D7" w14:paraId="52920523" w14:textId="77777777" w:rsidTr="00DD4199">
        <w:trPr>
          <w:trHeight w:val="1527"/>
        </w:trPr>
        <w:tc>
          <w:tcPr>
            <w:tcW w:w="1717" w:type="dxa"/>
            <w:tcBorders>
              <w:top w:val="single" w:sz="4" w:space="0" w:color="auto"/>
              <w:left w:val="single" w:sz="4" w:space="0" w:color="auto"/>
              <w:bottom w:val="single" w:sz="4" w:space="0" w:color="auto"/>
              <w:right w:val="single" w:sz="4" w:space="0" w:color="auto"/>
            </w:tcBorders>
          </w:tcPr>
          <w:p w14:paraId="75D506AA" w14:textId="5C5C4550" w:rsidR="008278D3" w:rsidRPr="008278D3" w:rsidRDefault="008278D3" w:rsidP="002544B9">
            <w:pPr>
              <w:ind w:firstLine="0"/>
              <w:jc w:val="left"/>
              <w:rPr>
                <w:b/>
                <w:sz w:val="18"/>
                <w:szCs w:val="18"/>
              </w:rPr>
            </w:pPr>
            <w:r w:rsidRPr="008278D3">
              <w:rPr>
                <w:b/>
                <w:sz w:val="18"/>
                <w:szCs w:val="18"/>
              </w:rPr>
              <w:t>Regula Nr.</w:t>
            </w:r>
            <w:r w:rsidR="00555E10">
              <w:rPr>
                <w:b/>
                <w:sz w:val="18"/>
                <w:szCs w:val="18"/>
              </w:rPr>
              <w:t> </w:t>
            </w:r>
            <w:r w:rsidRPr="008278D3">
              <w:rPr>
                <w:b/>
                <w:sz w:val="18"/>
                <w:szCs w:val="18"/>
              </w:rPr>
              <w:t>596/2014 (MAR)</w:t>
            </w:r>
          </w:p>
        </w:tc>
        <w:tc>
          <w:tcPr>
            <w:tcW w:w="2409" w:type="dxa"/>
            <w:tcBorders>
              <w:top w:val="single" w:sz="4" w:space="0" w:color="auto"/>
              <w:left w:val="single" w:sz="4" w:space="0" w:color="auto"/>
              <w:bottom w:val="single" w:sz="4" w:space="0" w:color="auto"/>
              <w:right w:val="single" w:sz="4" w:space="0" w:color="auto"/>
            </w:tcBorders>
          </w:tcPr>
          <w:p w14:paraId="086D97EE" w14:textId="559017C4" w:rsidR="008278D3" w:rsidRDefault="00083B9A" w:rsidP="00B86CE7">
            <w:pPr>
              <w:ind w:firstLine="0"/>
              <w:jc w:val="left"/>
              <w:rPr>
                <w:b/>
                <w:sz w:val="18"/>
                <w:szCs w:val="18"/>
              </w:rPr>
            </w:pPr>
            <w:r>
              <w:rPr>
                <w:b/>
                <w:sz w:val="18"/>
                <w:szCs w:val="18"/>
              </w:rPr>
              <w:t xml:space="preserve">22. </w:t>
            </w:r>
            <w:r w:rsidR="008278D3">
              <w:rPr>
                <w:b/>
                <w:sz w:val="18"/>
                <w:szCs w:val="18"/>
              </w:rPr>
              <w:t xml:space="preserve">MAR </w:t>
            </w:r>
            <w:r w:rsidR="008278D3" w:rsidRPr="008278D3">
              <w:rPr>
                <w:b/>
                <w:sz w:val="18"/>
                <w:szCs w:val="18"/>
              </w:rPr>
              <w:t>18.</w:t>
            </w:r>
            <w:r w:rsidR="008278D3">
              <w:rPr>
                <w:b/>
                <w:sz w:val="18"/>
                <w:szCs w:val="18"/>
              </w:rPr>
              <w:t xml:space="preserve"> </w:t>
            </w:r>
            <w:r w:rsidR="008278D3" w:rsidRPr="008278D3">
              <w:rPr>
                <w:b/>
                <w:sz w:val="18"/>
                <w:szCs w:val="18"/>
              </w:rPr>
              <w:t>panta 1., 2., 3., 4., 5. vai 6.</w:t>
            </w:r>
            <w:r w:rsidR="008278D3">
              <w:rPr>
                <w:b/>
                <w:sz w:val="18"/>
                <w:szCs w:val="18"/>
              </w:rPr>
              <w:t xml:space="preserve"> </w:t>
            </w:r>
            <w:r w:rsidR="008278D3" w:rsidRPr="008278D3">
              <w:rPr>
                <w:b/>
                <w:sz w:val="18"/>
                <w:szCs w:val="18"/>
              </w:rPr>
              <w:t>punkt</w:t>
            </w:r>
            <w:r w:rsidR="008278D3">
              <w:rPr>
                <w:b/>
                <w:sz w:val="18"/>
                <w:szCs w:val="18"/>
              </w:rPr>
              <w:t>a</w:t>
            </w:r>
            <w:r w:rsidR="008278D3" w:rsidRPr="008278D3">
              <w:rPr>
                <w:b/>
                <w:sz w:val="18"/>
                <w:szCs w:val="18"/>
              </w:rPr>
              <w:t xml:space="preserve"> </w:t>
            </w:r>
            <w:r w:rsidR="008278D3">
              <w:rPr>
                <w:b/>
                <w:sz w:val="18"/>
                <w:szCs w:val="18"/>
              </w:rPr>
              <w:t>pārkāpums</w:t>
            </w:r>
          </w:p>
        </w:tc>
        <w:tc>
          <w:tcPr>
            <w:tcW w:w="2410" w:type="dxa"/>
            <w:tcBorders>
              <w:top w:val="single" w:sz="4" w:space="0" w:color="auto"/>
              <w:left w:val="single" w:sz="4" w:space="0" w:color="auto"/>
              <w:bottom w:val="single" w:sz="4" w:space="0" w:color="auto"/>
              <w:right w:val="single" w:sz="4" w:space="0" w:color="auto"/>
            </w:tcBorders>
          </w:tcPr>
          <w:p w14:paraId="6F6A35CA" w14:textId="77777777" w:rsidR="008278D3" w:rsidRPr="008527D7" w:rsidRDefault="008278D3"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589E664A" w14:textId="03C88D8E" w:rsidR="008278D3" w:rsidRPr="00007340" w:rsidRDefault="008278D3" w:rsidP="00B86CE7">
            <w:pPr>
              <w:ind w:firstLine="0"/>
              <w:jc w:val="center"/>
              <w:rPr>
                <w:sz w:val="28"/>
                <w:szCs w:val="28"/>
              </w:rPr>
            </w:pPr>
            <w:r w:rsidRPr="00007340">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4FC711E7" w14:textId="77777777" w:rsidR="008278D3" w:rsidRPr="00007340" w:rsidRDefault="008278D3" w:rsidP="00B86CE7">
            <w:pPr>
              <w:ind w:firstLine="0"/>
              <w:jc w:val="center"/>
              <w:rPr>
                <w:sz w:val="28"/>
                <w:szCs w:val="28"/>
              </w:rPr>
            </w:pPr>
          </w:p>
        </w:tc>
        <w:tc>
          <w:tcPr>
            <w:tcW w:w="2409" w:type="dxa"/>
            <w:tcBorders>
              <w:top w:val="single" w:sz="4" w:space="0" w:color="auto"/>
              <w:left w:val="single" w:sz="4" w:space="0" w:color="auto"/>
              <w:bottom w:val="single" w:sz="4" w:space="0" w:color="auto"/>
              <w:right w:val="single" w:sz="4" w:space="0" w:color="auto"/>
            </w:tcBorders>
          </w:tcPr>
          <w:p w14:paraId="2306AFC6" w14:textId="77777777" w:rsidR="008278D3" w:rsidRPr="008527D7" w:rsidRDefault="008278D3" w:rsidP="002544B9">
            <w:pPr>
              <w:ind w:firstLine="0"/>
              <w:jc w:val="center"/>
              <w:rPr>
                <w:b/>
                <w:bCs/>
                <w:sz w:val="28"/>
                <w:szCs w:val="28"/>
              </w:rPr>
            </w:pPr>
          </w:p>
        </w:tc>
      </w:tr>
      <w:tr w:rsidR="008278D3" w:rsidRPr="008527D7" w14:paraId="376FCC67" w14:textId="77777777" w:rsidTr="00DD4199">
        <w:trPr>
          <w:trHeight w:val="1527"/>
        </w:trPr>
        <w:tc>
          <w:tcPr>
            <w:tcW w:w="1717" w:type="dxa"/>
            <w:tcBorders>
              <w:top w:val="single" w:sz="4" w:space="0" w:color="auto"/>
              <w:left w:val="single" w:sz="4" w:space="0" w:color="auto"/>
              <w:bottom w:val="single" w:sz="4" w:space="0" w:color="auto"/>
              <w:right w:val="single" w:sz="4" w:space="0" w:color="auto"/>
            </w:tcBorders>
          </w:tcPr>
          <w:p w14:paraId="7C356324" w14:textId="5ADBE5A7" w:rsidR="008278D3" w:rsidRPr="008278D3" w:rsidRDefault="008278D3" w:rsidP="002544B9">
            <w:pPr>
              <w:ind w:firstLine="0"/>
              <w:jc w:val="left"/>
              <w:rPr>
                <w:b/>
                <w:sz w:val="18"/>
                <w:szCs w:val="18"/>
              </w:rPr>
            </w:pPr>
            <w:r w:rsidRPr="008278D3">
              <w:rPr>
                <w:b/>
                <w:sz w:val="18"/>
                <w:szCs w:val="18"/>
              </w:rPr>
              <w:lastRenderedPageBreak/>
              <w:t>Regula Nr.</w:t>
            </w:r>
            <w:r w:rsidR="00555E10">
              <w:rPr>
                <w:b/>
                <w:sz w:val="18"/>
                <w:szCs w:val="18"/>
              </w:rPr>
              <w:t> </w:t>
            </w:r>
            <w:r w:rsidRPr="008278D3">
              <w:rPr>
                <w:b/>
                <w:sz w:val="18"/>
                <w:szCs w:val="18"/>
              </w:rPr>
              <w:t>596/2014 (MAR)</w:t>
            </w:r>
          </w:p>
        </w:tc>
        <w:tc>
          <w:tcPr>
            <w:tcW w:w="2409" w:type="dxa"/>
            <w:tcBorders>
              <w:top w:val="single" w:sz="4" w:space="0" w:color="auto"/>
              <w:left w:val="single" w:sz="4" w:space="0" w:color="auto"/>
              <w:bottom w:val="single" w:sz="4" w:space="0" w:color="auto"/>
              <w:right w:val="single" w:sz="4" w:space="0" w:color="auto"/>
            </w:tcBorders>
          </w:tcPr>
          <w:p w14:paraId="27294E32" w14:textId="0CA0C75C" w:rsidR="008278D3" w:rsidRDefault="00083B9A" w:rsidP="00B86CE7">
            <w:pPr>
              <w:ind w:firstLine="0"/>
              <w:jc w:val="left"/>
              <w:rPr>
                <w:b/>
                <w:sz w:val="18"/>
                <w:szCs w:val="18"/>
              </w:rPr>
            </w:pPr>
            <w:r>
              <w:rPr>
                <w:b/>
                <w:sz w:val="18"/>
                <w:szCs w:val="18"/>
              </w:rPr>
              <w:t xml:space="preserve">23. </w:t>
            </w:r>
            <w:r w:rsidR="008278D3">
              <w:rPr>
                <w:b/>
                <w:sz w:val="18"/>
                <w:szCs w:val="18"/>
              </w:rPr>
              <w:t xml:space="preserve">MAR </w:t>
            </w:r>
            <w:r w:rsidR="008278D3" w:rsidRPr="008278D3">
              <w:rPr>
                <w:b/>
                <w:sz w:val="18"/>
                <w:szCs w:val="18"/>
              </w:rPr>
              <w:t>19.</w:t>
            </w:r>
            <w:r w:rsidR="008278D3">
              <w:rPr>
                <w:b/>
                <w:sz w:val="18"/>
                <w:szCs w:val="18"/>
              </w:rPr>
              <w:t xml:space="preserve"> </w:t>
            </w:r>
            <w:r w:rsidR="008278D3" w:rsidRPr="008278D3">
              <w:rPr>
                <w:b/>
                <w:sz w:val="18"/>
                <w:szCs w:val="18"/>
              </w:rPr>
              <w:t>panta 1., 2., 3., 5., 6., 7. vai 11.</w:t>
            </w:r>
            <w:r w:rsidR="008278D3">
              <w:rPr>
                <w:b/>
                <w:sz w:val="18"/>
                <w:szCs w:val="18"/>
              </w:rPr>
              <w:t xml:space="preserve"> </w:t>
            </w:r>
            <w:r w:rsidR="008278D3" w:rsidRPr="008278D3">
              <w:rPr>
                <w:b/>
                <w:sz w:val="18"/>
                <w:szCs w:val="18"/>
              </w:rPr>
              <w:t>punkt</w:t>
            </w:r>
            <w:r w:rsidR="008278D3">
              <w:rPr>
                <w:b/>
                <w:sz w:val="18"/>
                <w:szCs w:val="18"/>
              </w:rPr>
              <w:t>a</w:t>
            </w:r>
            <w:r w:rsidR="008278D3" w:rsidRPr="008278D3">
              <w:rPr>
                <w:b/>
                <w:sz w:val="18"/>
                <w:szCs w:val="18"/>
              </w:rPr>
              <w:t xml:space="preserve"> </w:t>
            </w:r>
            <w:r w:rsidR="008278D3">
              <w:rPr>
                <w:b/>
                <w:sz w:val="18"/>
                <w:szCs w:val="18"/>
              </w:rPr>
              <w:t>pārkāpums</w:t>
            </w:r>
          </w:p>
        </w:tc>
        <w:tc>
          <w:tcPr>
            <w:tcW w:w="2410" w:type="dxa"/>
            <w:tcBorders>
              <w:top w:val="single" w:sz="4" w:space="0" w:color="auto"/>
              <w:left w:val="single" w:sz="4" w:space="0" w:color="auto"/>
              <w:bottom w:val="single" w:sz="4" w:space="0" w:color="auto"/>
              <w:right w:val="single" w:sz="4" w:space="0" w:color="auto"/>
            </w:tcBorders>
          </w:tcPr>
          <w:p w14:paraId="76A9A037" w14:textId="77777777" w:rsidR="008278D3" w:rsidRPr="008527D7" w:rsidRDefault="008278D3"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47445D4" w14:textId="5AB7E351" w:rsidR="008278D3" w:rsidRPr="00007340" w:rsidRDefault="0018436B" w:rsidP="00B86CE7">
            <w:pPr>
              <w:ind w:firstLine="0"/>
              <w:jc w:val="center"/>
              <w:rPr>
                <w:sz w:val="28"/>
                <w:szCs w:val="28"/>
              </w:rPr>
            </w:pPr>
            <w:r w:rsidRPr="00007340">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5BA7CCED" w14:textId="77777777" w:rsidR="008278D3" w:rsidRPr="00007340" w:rsidRDefault="008278D3" w:rsidP="00B86CE7">
            <w:pPr>
              <w:ind w:firstLine="0"/>
              <w:jc w:val="center"/>
              <w:rPr>
                <w:sz w:val="28"/>
                <w:szCs w:val="28"/>
              </w:rPr>
            </w:pPr>
          </w:p>
        </w:tc>
        <w:tc>
          <w:tcPr>
            <w:tcW w:w="2409" w:type="dxa"/>
            <w:tcBorders>
              <w:top w:val="single" w:sz="4" w:space="0" w:color="auto"/>
              <w:left w:val="single" w:sz="4" w:space="0" w:color="auto"/>
              <w:bottom w:val="single" w:sz="4" w:space="0" w:color="auto"/>
              <w:right w:val="single" w:sz="4" w:space="0" w:color="auto"/>
            </w:tcBorders>
          </w:tcPr>
          <w:p w14:paraId="4F6D840D" w14:textId="77777777" w:rsidR="008278D3" w:rsidRPr="008527D7" w:rsidRDefault="008278D3" w:rsidP="002544B9">
            <w:pPr>
              <w:ind w:firstLine="0"/>
              <w:jc w:val="center"/>
              <w:rPr>
                <w:b/>
                <w:bCs/>
                <w:sz w:val="28"/>
                <w:szCs w:val="28"/>
              </w:rPr>
            </w:pPr>
          </w:p>
        </w:tc>
      </w:tr>
      <w:tr w:rsidR="008278D3" w:rsidRPr="008527D7" w14:paraId="6CDAB540" w14:textId="77777777" w:rsidTr="00DD4199">
        <w:trPr>
          <w:trHeight w:val="1527"/>
        </w:trPr>
        <w:tc>
          <w:tcPr>
            <w:tcW w:w="1717" w:type="dxa"/>
            <w:tcBorders>
              <w:top w:val="single" w:sz="4" w:space="0" w:color="auto"/>
              <w:left w:val="single" w:sz="4" w:space="0" w:color="auto"/>
              <w:bottom w:val="single" w:sz="4" w:space="0" w:color="auto"/>
              <w:right w:val="single" w:sz="4" w:space="0" w:color="auto"/>
            </w:tcBorders>
          </w:tcPr>
          <w:p w14:paraId="0E342312" w14:textId="41061E78" w:rsidR="008278D3" w:rsidRPr="008278D3" w:rsidRDefault="008278D3" w:rsidP="002544B9">
            <w:pPr>
              <w:ind w:firstLine="0"/>
              <w:jc w:val="left"/>
              <w:rPr>
                <w:b/>
                <w:sz w:val="18"/>
                <w:szCs w:val="18"/>
              </w:rPr>
            </w:pPr>
            <w:r w:rsidRPr="008278D3">
              <w:rPr>
                <w:b/>
                <w:sz w:val="18"/>
                <w:szCs w:val="18"/>
              </w:rPr>
              <w:t>Regula Nr.</w:t>
            </w:r>
            <w:r w:rsidR="00555E10">
              <w:rPr>
                <w:b/>
                <w:sz w:val="18"/>
                <w:szCs w:val="18"/>
              </w:rPr>
              <w:t> </w:t>
            </w:r>
            <w:r w:rsidRPr="008278D3">
              <w:rPr>
                <w:b/>
                <w:sz w:val="18"/>
                <w:szCs w:val="18"/>
              </w:rPr>
              <w:t>596/2014 (MAR)</w:t>
            </w:r>
          </w:p>
        </w:tc>
        <w:tc>
          <w:tcPr>
            <w:tcW w:w="2409" w:type="dxa"/>
            <w:tcBorders>
              <w:top w:val="single" w:sz="4" w:space="0" w:color="auto"/>
              <w:left w:val="single" w:sz="4" w:space="0" w:color="auto"/>
              <w:bottom w:val="single" w:sz="4" w:space="0" w:color="auto"/>
              <w:right w:val="single" w:sz="4" w:space="0" w:color="auto"/>
            </w:tcBorders>
          </w:tcPr>
          <w:p w14:paraId="0132330C" w14:textId="22CBC387" w:rsidR="008278D3" w:rsidRDefault="00083B9A" w:rsidP="00B86CE7">
            <w:pPr>
              <w:ind w:firstLine="0"/>
              <w:jc w:val="left"/>
              <w:rPr>
                <w:b/>
                <w:sz w:val="18"/>
                <w:szCs w:val="18"/>
              </w:rPr>
            </w:pPr>
            <w:r>
              <w:rPr>
                <w:b/>
                <w:sz w:val="18"/>
                <w:szCs w:val="18"/>
              </w:rPr>
              <w:t xml:space="preserve">24. </w:t>
            </w:r>
            <w:r w:rsidR="008278D3">
              <w:rPr>
                <w:b/>
                <w:sz w:val="18"/>
                <w:szCs w:val="18"/>
              </w:rPr>
              <w:t xml:space="preserve">MAR </w:t>
            </w:r>
            <w:r w:rsidR="0018436B" w:rsidRPr="0018436B">
              <w:rPr>
                <w:b/>
                <w:sz w:val="18"/>
                <w:szCs w:val="18"/>
              </w:rPr>
              <w:t>20.</w:t>
            </w:r>
            <w:r w:rsidR="0018436B">
              <w:rPr>
                <w:b/>
                <w:sz w:val="18"/>
                <w:szCs w:val="18"/>
              </w:rPr>
              <w:t xml:space="preserve"> </w:t>
            </w:r>
            <w:r w:rsidR="0018436B" w:rsidRPr="0018436B">
              <w:rPr>
                <w:b/>
                <w:sz w:val="18"/>
                <w:szCs w:val="18"/>
              </w:rPr>
              <w:t>panta 1.</w:t>
            </w:r>
            <w:r w:rsidR="004A61BA">
              <w:rPr>
                <w:b/>
                <w:sz w:val="18"/>
                <w:szCs w:val="18"/>
              </w:rPr>
              <w:t> </w:t>
            </w:r>
            <w:r w:rsidR="0018436B" w:rsidRPr="0018436B">
              <w:rPr>
                <w:b/>
                <w:sz w:val="18"/>
                <w:szCs w:val="18"/>
              </w:rPr>
              <w:t>punkt</w:t>
            </w:r>
            <w:r w:rsidR="0018436B">
              <w:rPr>
                <w:b/>
                <w:sz w:val="18"/>
                <w:szCs w:val="18"/>
              </w:rPr>
              <w:t>a</w:t>
            </w:r>
            <w:r w:rsidR="0018436B" w:rsidRPr="0018436B">
              <w:rPr>
                <w:b/>
                <w:sz w:val="18"/>
                <w:szCs w:val="18"/>
              </w:rPr>
              <w:t xml:space="preserve"> </w:t>
            </w:r>
            <w:r w:rsidR="008278D3">
              <w:rPr>
                <w:b/>
                <w:sz w:val="18"/>
                <w:szCs w:val="18"/>
              </w:rPr>
              <w:t>pārkāpums</w:t>
            </w:r>
          </w:p>
        </w:tc>
        <w:tc>
          <w:tcPr>
            <w:tcW w:w="2410" w:type="dxa"/>
            <w:tcBorders>
              <w:top w:val="single" w:sz="4" w:space="0" w:color="auto"/>
              <w:left w:val="single" w:sz="4" w:space="0" w:color="auto"/>
              <w:bottom w:val="single" w:sz="4" w:space="0" w:color="auto"/>
              <w:right w:val="single" w:sz="4" w:space="0" w:color="auto"/>
            </w:tcBorders>
          </w:tcPr>
          <w:p w14:paraId="7DDD0E1A" w14:textId="77777777" w:rsidR="008278D3" w:rsidRPr="008527D7" w:rsidRDefault="008278D3"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2472E4DF" w14:textId="77777777" w:rsidR="008278D3" w:rsidRPr="00007340" w:rsidRDefault="008278D3" w:rsidP="00B86CE7">
            <w:pPr>
              <w:ind w:firstLine="0"/>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6C313E7" w14:textId="5B986E0B" w:rsidR="008278D3" w:rsidRPr="00007340" w:rsidRDefault="0018436B" w:rsidP="00B86CE7">
            <w:pPr>
              <w:ind w:firstLine="0"/>
              <w:jc w:val="center"/>
              <w:rPr>
                <w:sz w:val="28"/>
                <w:szCs w:val="28"/>
              </w:rPr>
            </w:pPr>
            <w:r w:rsidRPr="00007340">
              <w:rPr>
                <w:sz w:val="28"/>
                <w:szCs w:val="28"/>
              </w:rPr>
              <w:t>X</w:t>
            </w:r>
          </w:p>
        </w:tc>
        <w:tc>
          <w:tcPr>
            <w:tcW w:w="2409" w:type="dxa"/>
            <w:tcBorders>
              <w:top w:val="single" w:sz="4" w:space="0" w:color="auto"/>
              <w:left w:val="single" w:sz="4" w:space="0" w:color="auto"/>
              <w:bottom w:val="single" w:sz="4" w:space="0" w:color="auto"/>
              <w:right w:val="single" w:sz="4" w:space="0" w:color="auto"/>
            </w:tcBorders>
          </w:tcPr>
          <w:p w14:paraId="64DF7D67" w14:textId="77777777" w:rsidR="008278D3" w:rsidRPr="008527D7" w:rsidRDefault="008278D3" w:rsidP="002544B9">
            <w:pPr>
              <w:ind w:firstLine="0"/>
              <w:jc w:val="center"/>
              <w:rPr>
                <w:b/>
                <w:bCs/>
                <w:sz w:val="28"/>
                <w:szCs w:val="28"/>
              </w:rPr>
            </w:pPr>
          </w:p>
        </w:tc>
      </w:tr>
      <w:tr w:rsidR="004A22EC" w:rsidRPr="008527D7" w14:paraId="78308FD4" w14:textId="77777777" w:rsidTr="00DD4199">
        <w:trPr>
          <w:trHeight w:val="1527"/>
        </w:trPr>
        <w:tc>
          <w:tcPr>
            <w:tcW w:w="1717" w:type="dxa"/>
            <w:tcBorders>
              <w:top w:val="single" w:sz="4" w:space="0" w:color="auto"/>
              <w:left w:val="single" w:sz="4" w:space="0" w:color="auto"/>
              <w:bottom w:val="single" w:sz="4" w:space="0" w:color="auto"/>
              <w:right w:val="single" w:sz="4" w:space="0" w:color="auto"/>
            </w:tcBorders>
          </w:tcPr>
          <w:p w14:paraId="427FE147" w14:textId="7E18D507" w:rsidR="004A22EC" w:rsidRPr="008278D3" w:rsidRDefault="004A22EC" w:rsidP="002544B9">
            <w:pPr>
              <w:ind w:firstLine="0"/>
              <w:jc w:val="left"/>
              <w:rPr>
                <w:b/>
                <w:sz w:val="18"/>
                <w:szCs w:val="18"/>
              </w:rPr>
            </w:pPr>
            <w:r>
              <w:rPr>
                <w:b/>
                <w:sz w:val="18"/>
                <w:szCs w:val="18"/>
              </w:rPr>
              <w:t>Regula Nr.</w:t>
            </w:r>
            <w:r w:rsidR="00555E10">
              <w:rPr>
                <w:b/>
                <w:sz w:val="18"/>
                <w:szCs w:val="18"/>
              </w:rPr>
              <w:t> </w:t>
            </w:r>
            <w:r>
              <w:rPr>
                <w:b/>
                <w:sz w:val="18"/>
                <w:szCs w:val="18"/>
              </w:rPr>
              <w:t>600/2014 (</w:t>
            </w:r>
            <w:proofErr w:type="spellStart"/>
            <w:r>
              <w:rPr>
                <w:b/>
                <w:sz w:val="18"/>
                <w:szCs w:val="18"/>
              </w:rPr>
              <w:t>MiFIR</w:t>
            </w:r>
            <w:proofErr w:type="spellEnd"/>
            <w:r>
              <w:rPr>
                <w:b/>
                <w:sz w:val="18"/>
                <w:szCs w:val="18"/>
              </w:rPr>
              <w:t>)</w:t>
            </w:r>
            <w:r>
              <w:rPr>
                <w:rStyle w:val="FootnoteReference"/>
                <w:b/>
                <w:sz w:val="18"/>
                <w:szCs w:val="18"/>
              </w:rPr>
              <w:footnoteReference w:id="7"/>
            </w:r>
          </w:p>
        </w:tc>
        <w:tc>
          <w:tcPr>
            <w:tcW w:w="2409" w:type="dxa"/>
            <w:tcBorders>
              <w:top w:val="single" w:sz="4" w:space="0" w:color="auto"/>
              <w:left w:val="single" w:sz="4" w:space="0" w:color="auto"/>
              <w:bottom w:val="single" w:sz="4" w:space="0" w:color="auto"/>
              <w:right w:val="single" w:sz="4" w:space="0" w:color="auto"/>
            </w:tcBorders>
          </w:tcPr>
          <w:p w14:paraId="3EF244F9" w14:textId="3F7AA28E" w:rsidR="004A22EC" w:rsidRDefault="00083B9A" w:rsidP="00B86CE7">
            <w:pPr>
              <w:ind w:firstLine="0"/>
              <w:jc w:val="left"/>
              <w:rPr>
                <w:b/>
                <w:sz w:val="18"/>
                <w:szCs w:val="18"/>
              </w:rPr>
            </w:pPr>
            <w:r>
              <w:rPr>
                <w:b/>
                <w:sz w:val="18"/>
                <w:szCs w:val="18"/>
              </w:rPr>
              <w:t xml:space="preserve">25. </w:t>
            </w:r>
            <w:r w:rsidR="004A22EC" w:rsidRPr="004A22EC">
              <w:rPr>
                <w:b/>
                <w:sz w:val="18"/>
                <w:szCs w:val="18"/>
              </w:rPr>
              <w:t>Pārkāpumi, kas saistīti ar Regul</w:t>
            </w:r>
            <w:r w:rsidR="004A61BA">
              <w:rPr>
                <w:b/>
                <w:sz w:val="18"/>
                <w:szCs w:val="18"/>
              </w:rPr>
              <w:t>ā</w:t>
            </w:r>
            <w:r w:rsidR="004A22EC" w:rsidRPr="004A22EC">
              <w:rPr>
                <w:b/>
                <w:sz w:val="18"/>
                <w:szCs w:val="18"/>
              </w:rPr>
              <w:t xml:space="preserve"> Nr. 600/2014 noteikto prasību neievērošanu, t</w:t>
            </w:r>
            <w:r w:rsidR="004A61BA">
              <w:rPr>
                <w:b/>
                <w:sz w:val="18"/>
                <w:szCs w:val="18"/>
              </w:rPr>
              <w:t>.</w:t>
            </w:r>
            <w:r w:rsidR="004A22EC" w:rsidRPr="004A22EC">
              <w:rPr>
                <w:b/>
                <w:sz w:val="18"/>
                <w:szCs w:val="18"/>
              </w:rPr>
              <w:t>sk</w:t>
            </w:r>
            <w:r w:rsidR="004A61BA">
              <w:rPr>
                <w:b/>
                <w:sz w:val="18"/>
                <w:szCs w:val="18"/>
              </w:rPr>
              <w:t>.</w:t>
            </w:r>
            <w:r w:rsidR="004A22EC" w:rsidRPr="004A22EC">
              <w:rPr>
                <w:b/>
                <w:sz w:val="18"/>
                <w:szCs w:val="18"/>
              </w:rPr>
              <w:t xml:space="preserve"> pakārtoto tiesību aktu pārkāpumi</w:t>
            </w:r>
          </w:p>
        </w:tc>
        <w:tc>
          <w:tcPr>
            <w:tcW w:w="2410" w:type="dxa"/>
            <w:tcBorders>
              <w:top w:val="single" w:sz="4" w:space="0" w:color="auto"/>
              <w:left w:val="single" w:sz="4" w:space="0" w:color="auto"/>
              <w:bottom w:val="single" w:sz="4" w:space="0" w:color="auto"/>
              <w:right w:val="single" w:sz="4" w:space="0" w:color="auto"/>
            </w:tcBorders>
          </w:tcPr>
          <w:p w14:paraId="6F4CD8AD" w14:textId="77777777" w:rsidR="004A22EC" w:rsidRPr="008527D7" w:rsidRDefault="004A22EC"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722144FA" w14:textId="77777777" w:rsidR="004A22EC" w:rsidRPr="00007340" w:rsidRDefault="004A22EC" w:rsidP="00B86CE7">
            <w:pPr>
              <w:ind w:firstLine="0"/>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01602CD3" w14:textId="75DB498F" w:rsidR="004A22EC" w:rsidRPr="00007340" w:rsidRDefault="004A22EC" w:rsidP="00B86CE7">
            <w:pPr>
              <w:ind w:firstLine="0"/>
              <w:jc w:val="center"/>
              <w:rPr>
                <w:sz w:val="28"/>
                <w:szCs w:val="28"/>
              </w:rPr>
            </w:pPr>
            <w:r w:rsidRPr="00007340">
              <w:rPr>
                <w:sz w:val="28"/>
                <w:szCs w:val="28"/>
              </w:rPr>
              <w:t>X</w:t>
            </w:r>
          </w:p>
        </w:tc>
        <w:tc>
          <w:tcPr>
            <w:tcW w:w="2409" w:type="dxa"/>
            <w:tcBorders>
              <w:top w:val="single" w:sz="4" w:space="0" w:color="auto"/>
              <w:left w:val="single" w:sz="4" w:space="0" w:color="auto"/>
              <w:bottom w:val="single" w:sz="4" w:space="0" w:color="auto"/>
              <w:right w:val="single" w:sz="4" w:space="0" w:color="auto"/>
            </w:tcBorders>
          </w:tcPr>
          <w:p w14:paraId="61A453D2" w14:textId="77777777" w:rsidR="004A22EC" w:rsidRPr="008527D7" w:rsidRDefault="004A22EC" w:rsidP="002544B9">
            <w:pPr>
              <w:ind w:firstLine="0"/>
              <w:jc w:val="center"/>
              <w:rPr>
                <w:b/>
                <w:bCs/>
                <w:sz w:val="28"/>
                <w:szCs w:val="28"/>
              </w:rPr>
            </w:pPr>
          </w:p>
        </w:tc>
      </w:tr>
      <w:tr w:rsidR="004A22EC" w:rsidRPr="008527D7" w14:paraId="66287F6E" w14:textId="77777777" w:rsidTr="00DD4199">
        <w:trPr>
          <w:trHeight w:val="1527"/>
        </w:trPr>
        <w:tc>
          <w:tcPr>
            <w:tcW w:w="1717" w:type="dxa"/>
            <w:tcBorders>
              <w:top w:val="single" w:sz="4" w:space="0" w:color="auto"/>
              <w:left w:val="single" w:sz="4" w:space="0" w:color="auto"/>
              <w:bottom w:val="single" w:sz="4" w:space="0" w:color="auto"/>
              <w:right w:val="single" w:sz="4" w:space="0" w:color="auto"/>
            </w:tcBorders>
          </w:tcPr>
          <w:p w14:paraId="032D2CA2" w14:textId="5EBAE6F8" w:rsidR="004A22EC" w:rsidRPr="008278D3" w:rsidRDefault="004A22EC" w:rsidP="002544B9">
            <w:pPr>
              <w:ind w:firstLine="0"/>
              <w:jc w:val="left"/>
              <w:rPr>
                <w:b/>
                <w:sz w:val="18"/>
                <w:szCs w:val="18"/>
              </w:rPr>
            </w:pPr>
            <w:r w:rsidRPr="004A22EC">
              <w:rPr>
                <w:b/>
                <w:sz w:val="18"/>
                <w:szCs w:val="18"/>
              </w:rPr>
              <w:t>Regula Nr.</w:t>
            </w:r>
            <w:r w:rsidR="00555E10">
              <w:rPr>
                <w:b/>
                <w:sz w:val="18"/>
                <w:szCs w:val="18"/>
              </w:rPr>
              <w:t> </w:t>
            </w:r>
            <w:r w:rsidRPr="004A22EC">
              <w:rPr>
                <w:b/>
                <w:sz w:val="18"/>
                <w:szCs w:val="18"/>
              </w:rPr>
              <w:t>909/2014 (CSDR)</w:t>
            </w:r>
            <w:r>
              <w:rPr>
                <w:rStyle w:val="FootnoteReference"/>
                <w:b/>
                <w:sz w:val="18"/>
                <w:szCs w:val="18"/>
              </w:rPr>
              <w:footnoteReference w:id="8"/>
            </w:r>
          </w:p>
        </w:tc>
        <w:tc>
          <w:tcPr>
            <w:tcW w:w="2409" w:type="dxa"/>
            <w:tcBorders>
              <w:top w:val="single" w:sz="4" w:space="0" w:color="auto"/>
              <w:left w:val="single" w:sz="4" w:space="0" w:color="auto"/>
              <w:bottom w:val="single" w:sz="4" w:space="0" w:color="auto"/>
              <w:right w:val="single" w:sz="4" w:space="0" w:color="auto"/>
            </w:tcBorders>
          </w:tcPr>
          <w:p w14:paraId="7715E35E" w14:textId="607F824E" w:rsidR="004A22EC" w:rsidRDefault="00083B9A" w:rsidP="00B86CE7">
            <w:pPr>
              <w:ind w:firstLine="0"/>
              <w:jc w:val="left"/>
              <w:rPr>
                <w:b/>
                <w:sz w:val="18"/>
                <w:szCs w:val="18"/>
              </w:rPr>
            </w:pPr>
            <w:r>
              <w:rPr>
                <w:b/>
                <w:sz w:val="18"/>
                <w:szCs w:val="18"/>
              </w:rPr>
              <w:t xml:space="preserve">26. </w:t>
            </w:r>
            <w:r w:rsidR="004A22EC" w:rsidRPr="004A22EC">
              <w:rPr>
                <w:b/>
                <w:sz w:val="18"/>
                <w:szCs w:val="18"/>
              </w:rPr>
              <w:t>Regulas Nr. 909/2014 prasību neievērošana, t</w:t>
            </w:r>
            <w:r w:rsidR="004A61BA">
              <w:rPr>
                <w:b/>
                <w:sz w:val="18"/>
                <w:szCs w:val="18"/>
              </w:rPr>
              <w:t>.</w:t>
            </w:r>
            <w:r w:rsidR="004A22EC" w:rsidRPr="004A22EC">
              <w:rPr>
                <w:b/>
                <w:sz w:val="18"/>
                <w:szCs w:val="18"/>
              </w:rPr>
              <w:t>sk</w:t>
            </w:r>
            <w:r w:rsidR="004A61BA">
              <w:rPr>
                <w:b/>
                <w:sz w:val="18"/>
                <w:szCs w:val="18"/>
              </w:rPr>
              <w:t>.</w:t>
            </w:r>
            <w:r w:rsidR="004A22EC" w:rsidRPr="004A22EC">
              <w:rPr>
                <w:b/>
                <w:sz w:val="18"/>
                <w:szCs w:val="18"/>
              </w:rPr>
              <w:t xml:space="preserve"> pakārtoto tiesību aktu pārkāpumi</w:t>
            </w:r>
          </w:p>
        </w:tc>
        <w:tc>
          <w:tcPr>
            <w:tcW w:w="2410" w:type="dxa"/>
            <w:tcBorders>
              <w:top w:val="single" w:sz="4" w:space="0" w:color="auto"/>
              <w:left w:val="single" w:sz="4" w:space="0" w:color="auto"/>
              <w:bottom w:val="single" w:sz="4" w:space="0" w:color="auto"/>
              <w:right w:val="single" w:sz="4" w:space="0" w:color="auto"/>
            </w:tcBorders>
          </w:tcPr>
          <w:p w14:paraId="1DC086E9" w14:textId="77777777" w:rsidR="004A22EC" w:rsidRPr="008527D7" w:rsidRDefault="004A22EC"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7E04697D" w14:textId="78A1F64C" w:rsidR="004A22EC" w:rsidRPr="00007340" w:rsidRDefault="004A22EC" w:rsidP="00B86CE7">
            <w:pPr>
              <w:ind w:firstLine="0"/>
              <w:jc w:val="center"/>
              <w:rPr>
                <w:sz w:val="28"/>
                <w:szCs w:val="28"/>
              </w:rPr>
            </w:pPr>
            <w:r w:rsidRPr="00007340">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0A4FE03E" w14:textId="7872AB7B" w:rsidR="004A22EC" w:rsidRPr="00007340" w:rsidRDefault="004A22EC" w:rsidP="00B86CE7">
            <w:pPr>
              <w:ind w:firstLine="0"/>
              <w:jc w:val="center"/>
              <w:rPr>
                <w:sz w:val="28"/>
                <w:szCs w:val="28"/>
              </w:rPr>
            </w:pPr>
            <w:r w:rsidRPr="00007340">
              <w:rPr>
                <w:sz w:val="28"/>
                <w:szCs w:val="28"/>
              </w:rPr>
              <w:t>X</w:t>
            </w:r>
          </w:p>
        </w:tc>
        <w:tc>
          <w:tcPr>
            <w:tcW w:w="2409" w:type="dxa"/>
            <w:tcBorders>
              <w:top w:val="single" w:sz="4" w:space="0" w:color="auto"/>
              <w:left w:val="single" w:sz="4" w:space="0" w:color="auto"/>
              <w:bottom w:val="single" w:sz="4" w:space="0" w:color="auto"/>
              <w:right w:val="single" w:sz="4" w:space="0" w:color="auto"/>
            </w:tcBorders>
          </w:tcPr>
          <w:p w14:paraId="355A5981" w14:textId="622980D9" w:rsidR="004A22EC" w:rsidRPr="008527D7" w:rsidRDefault="004A22EC" w:rsidP="002544B9">
            <w:pPr>
              <w:ind w:firstLine="0"/>
              <w:jc w:val="center"/>
              <w:rPr>
                <w:b/>
                <w:bCs/>
                <w:sz w:val="28"/>
                <w:szCs w:val="28"/>
              </w:rPr>
            </w:pPr>
            <w:r w:rsidRPr="00007340">
              <w:rPr>
                <w:sz w:val="28"/>
                <w:szCs w:val="28"/>
              </w:rPr>
              <w:t>X</w:t>
            </w:r>
          </w:p>
        </w:tc>
      </w:tr>
      <w:tr w:rsidR="004A22EC" w:rsidRPr="008527D7" w14:paraId="320C5F42" w14:textId="77777777" w:rsidTr="00DD4199">
        <w:trPr>
          <w:trHeight w:val="1527"/>
        </w:trPr>
        <w:tc>
          <w:tcPr>
            <w:tcW w:w="1717" w:type="dxa"/>
            <w:tcBorders>
              <w:top w:val="single" w:sz="4" w:space="0" w:color="auto"/>
              <w:left w:val="single" w:sz="4" w:space="0" w:color="auto"/>
              <w:bottom w:val="single" w:sz="4" w:space="0" w:color="auto"/>
              <w:right w:val="single" w:sz="4" w:space="0" w:color="auto"/>
            </w:tcBorders>
          </w:tcPr>
          <w:p w14:paraId="63BF869B" w14:textId="16B6C560" w:rsidR="004A22EC" w:rsidRPr="008278D3" w:rsidRDefault="004A22EC" w:rsidP="002544B9">
            <w:pPr>
              <w:ind w:firstLine="0"/>
              <w:jc w:val="left"/>
              <w:rPr>
                <w:b/>
                <w:sz w:val="18"/>
                <w:szCs w:val="18"/>
              </w:rPr>
            </w:pPr>
            <w:r w:rsidRPr="004A22EC">
              <w:rPr>
                <w:b/>
                <w:sz w:val="18"/>
                <w:szCs w:val="18"/>
              </w:rPr>
              <w:t>Regula Nr.</w:t>
            </w:r>
            <w:r w:rsidR="00555E10">
              <w:rPr>
                <w:b/>
                <w:sz w:val="18"/>
                <w:szCs w:val="18"/>
              </w:rPr>
              <w:t> </w:t>
            </w:r>
            <w:r w:rsidRPr="004A22EC">
              <w:rPr>
                <w:b/>
                <w:sz w:val="18"/>
                <w:szCs w:val="18"/>
              </w:rPr>
              <w:t>648/2012 (EMIR)</w:t>
            </w:r>
            <w:r>
              <w:rPr>
                <w:rStyle w:val="FootnoteReference"/>
                <w:b/>
                <w:sz w:val="18"/>
                <w:szCs w:val="18"/>
              </w:rPr>
              <w:footnoteReference w:id="9"/>
            </w:r>
          </w:p>
        </w:tc>
        <w:tc>
          <w:tcPr>
            <w:tcW w:w="2409" w:type="dxa"/>
            <w:tcBorders>
              <w:top w:val="single" w:sz="4" w:space="0" w:color="auto"/>
              <w:left w:val="single" w:sz="4" w:space="0" w:color="auto"/>
              <w:bottom w:val="single" w:sz="4" w:space="0" w:color="auto"/>
              <w:right w:val="single" w:sz="4" w:space="0" w:color="auto"/>
            </w:tcBorders>
          </w:tcPr>
          <w:p w14:paraId="459BD39B" w14:textId="3D236B75" w:rsidR="004A22EC" w:rsidRDefault="00083B9A" w:rsidP="00B86CE7">
            <w:pPr>
              <w:ind w:firstLine="0"/>
              <w:jc w:val="left"/>
              <w:rPr>
                <w:b/>
                <w:sz w:val="18"/>
                <w:szCs w:val="18"/>
              </w:rPr>
            </w:pPr>
            <w:r>
              <w:rPr>
                <w:b/>
                <w:sz w:val="18"/>
                <w:szCs w:val="18"/>
              </w:rPr>
              <w:t xml:space="preserve">27. </w:t>
            </w:r>
            <w:r w:rsidR="004A22EC" w:rsidRPr="004A22EC">
              <w:rPr>
                <w:b/>
                <w:sz w:val="18"/>
                <w:szCs w:val="18"/>
              </w:rPr>
              <w:t>Regulas Nr. 648/2012 prasību neievērošana, t</w:t>
            </w:r>
            <w:r w:rsidR="004A61BA">
              <w:rPr>
                <w:b/>
                <w:sz w:val="18"/>
                <w:szCs w:val="18"/>
              </w:rPr>
              <w:t>.</w:t>
            </w:r>
            <w:r w:rsidR="004A22EC" w:rsidRPr="004A22EC">
              <w:rPr>
                <w:b/>
                <w:sz w:val="18"/>
                <w:szCs w:val="18"/>
              </w:rPr>
              <w:t>sk</w:t>
            </w:r>
            <w:r w:rsidR="004A61BA">
              <w:rPr>
                <w:b/>
                <w:sz w:val="18"/>
                <w:szCs w:val="18"/>
              </w:rPr>
              <w:t>.</w:t>
            </w:r>
            <w:r w:rsidR="004A22EC" w:rsidRPr="004A22EC">
              <w:rPr>
                <w:b/>
                <w:sz w:val="18"/>
                <w:szCs w:val="18"/>
              </w:rPr>
              <w:t xml:space="preserve"> pakārtoto tiesību aktu pārkāpumi</w:t>
            </w:r>
          </w:p>
        </w:tc>
        <w:tc>
          <w:tcPr>
            <w:tcW w:w="2410" w:type="dxa"/>
            <w:tcBorders>
              <w:top w:val="single" w:sz="4" w:space="0" w:color="auto"/>
              <w:left w:val="single" w:sz="4" w:space="0" w:color="auto"/>
              <w:bottom w:val="single" w:sz="4" w:space="0" w:color="auto"/>
              <w:right w:val="single" w:sz="4" w:space="0" w:color="auto"/>
            </w:tcBorders>
          </w:tcPr>
          <w:p w14:paraId="0611BF59" w14:textId="77777777" w:rsidR="004A22EC" w:rsidRPr="008527D7" w:rsidRDefault="004A22EC"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71E66B3B" w14:textId="71558E89" w:rsidR="004A22EC" w:rsidRPr="00007340" w:rsidRDefault="004A22EC" w:rsidP="00B86CE7">
            <w:pPr>
              <w:ind w:firstLine="0"/>
              <w:jc w:val="center"/>
              <w:rPr>
                <w:sz w:val="28"/>
                <w:szCs w:val="28"/>
              </w:rPr>
            </w:pPr>
            <w:r w:rsidRPr="00007340">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2FACB597" w14:textId="77777777" w:rsidR="004A22EC" w:rsidRPr="00007340" w:rsidRDefault="004A22EC" w:rsidP="00B86CE7">
            <w:pPr>
              <w:ind w:firstLine="0"/>
              <w:jc w:val="center"/>
              <w:rPr>
                <w:sz w:val="28"/>
                <w:szCs w:val="28"/>
              </w:rPr>
            </w:pPr>
          </w:p>
        </w:tc>
        <w:tc>
          <w:tcPr>
            <w:tcW w:w="2409" w:type="dxa"/>
            <w:tcBorders>
              <w:top w:val="single" w:sz="4" w:space="0" w:color="auto"/>
              <w:left w:val="single" w:sz="4" w:space="0" w:color="auto"/>
              <w:bottom w:val="single" w:sz="4" w:space="0" w:color="auto"/>
              <w:right w:val="single" w:sz="4" w:space="0" w:color="auto"/>
            </w:tcBorders>
          </w:tcPr>
          <w:p w14:paraId="0FBF1EC7" w14:textId="77777777" w:rsidR="004A22EC" w:rsidRPr="008527D7" w:rsidRDefault="004A22EC" w:rsidP="002544B9">
            <w:pPr>
              <w:ind w:firstLine="0"/>
              <w:jc w:val="center"/>
              <w:rPr>
                <w:b/>
                <w:bCs/>
                <w:sz w:val="28"/>
                <w:szCs w:val="28"/>
              </w:rPr>
            </w:pPr>
          </w:p>
        </w:tc>
      </w:tr>
      <w:tr w:rsidR="006D1E6E" w:rsidRPr="008527D7" w14:paraId="2664E7D7" w14:textId="77777777" w:rsidTr="00DD4199">
        <w:trPr>
          <w:trHeight w:val="567"/>
        </w:trPr>
        <w:tc>
          <w:tcPr>
            <w:tcW w:w="1717" w:type="dxa"/>
            <w:tcBorders>
              <w:top w:val="single" w:sz="4" w:space="0" w:color="auto"/>
              <w:left w:val="single" w:sz="4" w:space="0" w:color="auto"/>
              <w:bottom w:val="single" w:sz="4" w:space="0" w:color="auto"/>
              <w:right w:val="single" w:sz="4" w:space="0" w:color="auto"/>
            </w:tcBorders>
          </w:tcPr>
          <w:p w14:paraId="37515449" w14:textId="12DE3BCD" w:rsidR="006D1E6E" w:rsidRPr="00170B8F" w:rsidRDefault="004A22EC" w:rsidP="002544B9">
            <w:pPr>
              <w:ind w:firstLine="0"/>
              <w:jc w:val="left"/>
              <w:rPr>
                <w:b/>
                <w:sz w:val="18"/>
                <w:szCs w:val="18"/>
              </w:rPr>
            </w:pPr>
            <w:r w:rsidRPr="004A22EC">
              <w:rPr>
                <w:b/>
                <w:sz w:val="18"/>
                <w:szCs w:val="18"/>
              </w:rPr>
              <w:lastRenderedPageBreak/>
              <w:t>Regula Nr.</w:t>
            </w:r>
            <w:r w:rsidR="007671F8">
              <w:rPr>
                <w:b/>
                <w:sz w:val="18"/>
                <w:szCs w:val="18"/>
              </w:rPr>
              <w:t> </w:t>
            </w:r>
            <w:r w:rsidRPr="004A22EC">
              <w:rPr>
                <w:b/>
                <w:sz w:val="18"/>
                <w:szCs w:val="18"/>
              </w:rPr>
              <w:t>2015/2365 (SFTR)</w:t>
            </w:r>
            <w:r>
              <w:rPr>
                <w:rStyle w:val="FootnoteReference"/>
                <w:b/>
                <w:sz w:val="18"/>
                <w:szCs w:val="18"/>
              </w:rPr>
              <w:footnoteReference w:id="10"/>
            </w:r>
          </w:p>
        </w:tc>
        <w:tc>
          <w:tcPr>
            <w:tcW w:w="2409" w:type="dxa"/>
            <w:tcBorders>
              <w:top w:val="single" w:sz="4" w:space="0" w:color="auto"/>
              <w:left w:val="single" w:sz="4" w:space="0" w:color="auto"/>
              <w:bottom w:val="single" w:sz="4" w:space="0" w:color="auto"/>
              <w:right w:val="single" w:sz="4" w:space="0" w:color="auto"/>
            </w:tcBorders>
          </w:tcPr>
          <w:p w14:paraId="461B436B" w14:textId="54E1370F" w:rsidR="006D1E6E" w:rsidRDefault="00083B9A" w:rsidP="00B86CE7">
            <w:pPr>
              <w:ind w:firstLine="0"/>
              <w:jc w:val="left"/>
              <w:rPr>
                <w:b/>
                <w:sz w:val="18"/>
                <w:szCs w:val="18"/>
              </w:rPr>
            </w:pPr>
            <w:r>
              <w:rPr>
                <w:b/>
                <w:sz w:val="18"/>
                <w:szCs w:val="18"/>
              </w:rPr>
              <w:t>2</w:t>
            </w:r>
            <w:r w:rsidR="00007340">
              <w:rPr>
                <w:b/>
                <w:sz w:val="18"/>
                <w:szCs w:val="18"/>
              </w:rPr>
              <w:t>8</w:t>
            </w:r>
            <w:r w:rsidR="006D1E6E">
              <w:rPr>
                <w:b/>
                <w:sz w:val="18"/>
                <w:szCs w:val="18"/>
              </w:rPr>
              <w:t xml:space="preserve">. </w:t>
            </w:r>
            <w:r w:rsidR="004A22EC" w:rsidRPr="004A22EC">
              <w:rPr>
                <w:b/>
                <w:sz w:val="18"/>
                <w:szCs w:val="18"/>
              </w:rPr>
              <w:t>Regulas Nr. 2015/2365 prasību neievērošana, t</w:t>
            </w:r>
            <w:r w:rsidR="004A61BA">
              <w:rPr>
                <w:b/>
                <w:sz w:val="18"/>
                <w:szCs w:val="18"/>
              </w:rPr>
              <w:t>.</w:t>
            </w:r>
            <w:r w:rsidR="004A22EC" w:rsidRPr="004A22EC">
              <w:rPr>
                <w:b/>
                <w:sz w:val="18"/>
                <w:szCs w:val="18"/>
              </w:rPr>
              <w:t>sk</w:t>
            </w:r>
            <w:r w:rsidR="004A61BA">
              <w:rPr>
                <w:b/>
                <w:sz w:val="18"/>
                <w:szCs w:val="18"/>
              </w:rPr>
              <w:t>.</w:t>
            </w:r>
            <w:r w:rsidR="004A22EC" w:rsidRPr="004A22EC">
              <w:rPr>
                <w:b/>
                <w:sz w:val="18"/>
                <w:szCs w:val="18"/>
              </w:rPr>
              <w:t xml:space="preserve"> pakārtoto tiesību aktu pārkāpumi</w:t>
            </w:r>
          </w:p>
        </w:tc>
        <w:tc>
          <w:tcPr>
            <w:tcW w:w="2410" w:type="dxa"/>
            <w:tcBorders>
              <w:top w:val="single" w:sz="4" w:space="0" w:color="auto"/>
              <w:left w:val="single" w:sz="4" w:space="0" w:color="auto"/>
              <w:bottom w:val="single" w:sz="4" w:space="0" w:color="auto"/>
              <w:right w:val="single" w:sz="4" w:space="0" w:color="auto"/>
            </w:tcBorders>
          </w:tcPr>
          <w:p w14:paraId="1EF643FA" w14:textId="77777777" w:rsidR="006D1E6E" w:rsidRPr="008527D7" w:rsidRDefault="006D1E6E"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89A9B12" w14:textId="4ECDE829" w:rsidR="006D1E6E" w:rsidRPr="00007340" w:rsidRDefault="00AF7B24" w:rsidP="00B86CE7">
            <w:pPr>
              <w:ind w:firstLine="0"/>
              <w:jc w:val="center"/>
              <w:rPr>
                <w:sz w:val="28"/>
                <w:szCs w:val="28"/>
              </w:rPr>
            </w:pPr>
            <w:r w:rsidRPr="00007340">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0E3BE5CC" w14:textId="0E38119A" w:rsidR="006D1E6E" w:rsidRPr="008527D7" w:rsidRDefault="006D1E6E" w:rsidP="00B86CE7">
            <w:pPr>
              <w:ind w:firstLine="0"/>
              <w:jc w:val="center"/>
              <w:rPr>
                <w:b/>
                <w:b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2AEB77EF" w14:textId="77777777" w:rsidR="006D1E6E" w:rsidRPr="008527D7" w:rsidRDefault="006D1E6E" w:rsidP="00B86CE7">
            <w:pPr>
              <w:ind w:firstLine="0"/>
              <w:jc w:val="center"/>
              <w:rPr>
                <w:sz w:val="28"/>
                <w:szCs w:val="28"/>
              </w:rPr>
            </w:pPr>
          </w:p>
        </w:tc>
      </w:tr>
      <w:tr w:rsidR="004A22EC" w:rsidRPr="008527D7" w14:paraId="7F3A4A73" w14:textId="77777777" w:rsidTr="00DD4199">
        <w:trPr>
          <w:trHeight w:val="567"/>
        </w:trPr>
        <w:tc>
          <w:tcPr>
            <w:tcW w:w="1717" w:type="dxa"/>
            <w:tcBorders>
              <w:top w:val="single" w:sz="4" w:space="0" w:color="auto"/>
              <w:left w:val="single" w:sz="4" w:space="0" w:color="auto"/>
              <w:bottom w:val="single" w:sz="4" w:space="0" w:color="auto"/>
              <w:right w:val="single" w:sz="4" w:space="0" w:color="auto"/>
            </w:tcBorders>
          </w:tcPr>
          <w:p w14:paraId="1D7C4DBB" w14:textId="5F0A1363" w:rsidR="004A22EC" w:rsidRPr="004A22EC" w:rsidRDefault="004A22EC" w:rsidP="002544B9">
            <w:pPr>
              <w:ind w:firstLine="0"/>
              <w:jc w:val="left"/>
              <w:rPr>
                <w:b/>
                <w:noProof/>
                <w:sz w:val="18"/>
                <w:szCs w:val="18"/>
              </w:rPr>
            </w:pPr>
            <w:r w:rsidRPr="004A22EC">
              <w:rPr>
                <w:b/>
                <w:noProof/>
                <w:sz w:val="18"/>
                <w:szCs w:val="18"/>
              </w:rPr>
              <w:t>Regula Nr.</w:t>
            </w:r>
            <w:r w:rsidR="007671F8">
              <w:rPr>
                <w:b/>
                <w:noProof/>
                <w:sz w:val="18"/>
                <w:szCs w:val="18"/>
              </w:rPr>
              <w:t> </w:t>
            </w:r>
            <w:r w:rsidRPr="004A22EC">
              <w:rPr>
                <w:b/>
                <w:noProof/>
                <w:sz w:val="18"/>
                <w:szCs w:val="18"/>
              </w:rPr>
              <w:t>236/2012 (</w:t>
            </w:r>
            <w:r w:rsidRPr="006958E3">
              <w:rPr>
                <w:b/>
                <w:i/>
                <w:iCs/>
                <w:noProof/>
                <w:sz w:val="18"/>
                <w:szCs w:val="18"/>
              </w:rPr>
              <w:t>Short Selling</w:t>
            </w:r>
            <w:r w:rsidRPr="004A22EC">
              <w:rPr>
                <w:b/>
                <w:noProof/>
                <w:sz w:val="18"/>
                <w:szCs w:val="18"/>
              </w:rPr>
              <w:t>)</w:t>
            </w:r>
            <w:r>
              <w:rPr>
                <w:rStyle w:val="FootnoteReference"/>
                <w:b/>
                <w:noProof/>
                <w:sz w:val="18"/>
                <w:szCs w:val="18"/>
              </w:rPr>
              <w:footnoteReference w:id="11"/>
            </w:r>
          </w:p>
        </w:tc>
        <w:tc>
          <w:tcPr>
            <w:tcW w:w="2409" w:type="dxa"/>
            <w:tcBorders>
              <w:top w:val="single" w:sz="4" w:space="0" w:color="auto"/>
              <w:left w:val="single" w:sz="4" w:space="0" w:color="auto"/>
              <w:bottom w:val="single" w:sz="4" w:space="0" w:color="auto"/>
              <w:right w:val="single" w:sz="4" w:space="0" w:color="auto"/>
            </w:tcBorders>
          </w:tcPr>
          <w:p w14:paraId="44BEBB07" w14:textId="2DC9359D" w:rsidR="004A22EC" w:rsidRDefault="00083B9A" w:rsidP="00B86CE7">
            <w:pPr>
              <w:ind w:firstLine="0"/>
              <w:jc w:val="left"/>
              <w:rPr>
                <w:b/>
                <w:sz w:val="18"/>
                <w:szCs w:val="18"/>
              </w:rPr>
            </w:pPr>
            <w:r>
              <w:rPr>
                <w:b/>
                <w:sz w:val="18"/>
                <w:szCs w:val="18"/>
              </w:rPr>
              <w:t xml:space="preserve">29. </w:t>
            </w:r>
            <w:r w:rsidR="004A22EC" w:rsidRPr="004A22EC">
              <w:rPr>
                <w:b/>
                <w:sz w:val="18"/>
                <w:szCs w:val="18"/>
              </w:rPr>
              <w:t>Regulas Nr. 236/2012 prasību neievērošana</w:t>
            </w:r>
          </w:p>
        </w:tc>
        <w:tc>
          <w:tcPr>
            <w:tcW w:w="2410" w:type="dxa"/>
            <w:tcBorders>
              <w:top w:val="single" w:sz="4" w:space="0" w:color="auto"/>
              <w:left w:val="single" w:sz="4" w:space="0" w:color="auto"/>
              <w:bottom w:val="single" w:sz="4" w:space="0" w:color="auto"/>
              <w:right w:val="single" w:sz="4" w:space="0" w:color="auto"/>
            </w:tcBorders>
          </w:tcPr>
          <w:p w14:paraId="6419C8F1" w14:textId="77777777" w:rsidR="004A22EC" w:rsidRPr="008527D7" w:rsidRDefault="004A22EC"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C3EB7BE" w14:textId="4BDE0796" w:rsidR="004A22EC" w:rsidRPr="00007340" w:rsidRDefault="004A22EC" w:rsidP="00B86CE7">
            <w:pPr>
              <w:ind w:firstLine="0"/>
              <w:jc w:val="center"/>
              <w:rPr>
                <w:sz w:val="28"/>
                <w:szCs w:val="28"/>
              </w:rPr>
            </w:pPr>
            <w:r w:rsidRPr="00007340">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1D1BC6F9" w14:textId="77777777" w:rsidR="004A22EC" w:rsidRPr="008527D7" w:rsidRDefault="004A22EC" w:rsidP="00B86CE7">
            <w:pPr>
              <w:ind w:firstLine="0"/>
              <w:jc w:val="center"/>
              <w:rPr>
                <w:b/>
                <w:b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4DACF4DB" w14:textId="77777777" w:rsidR="004A22EC" w:rsidRPr="008527D7" w:rsidRDefault="004A22EC" w:rsidP="00B86CE7">
            <w:pPr>
              <w:ind w:firstLine="0"/>
              <w:jc w:val="center"/>
              <w:rPr>
                <w:sz w:val="28"/>
                <w:szCs w:val="28"/>
              </w:rPr>
            </w:pPr>
          </w:p>
        </w:tc>
      </w:tr>
      <w:tr w:rsidR="004A22EC" w:rsidRPr="008527D7" w14:paraId="07419FFE" w14:textId="77777777" w:rsidTr="00DD4199">
        <w:trPr>
          <w:trHeight w:val="567"/>
        </w:trPr>
        <w:tc>
          <w:tcPr>
            <w:tcW w:w="1717" w:type="dxa"/>
            <w:tcBorders>
              <w:top w:val="single" w:sz="4" w:space="0" w:color="auto"/>
              <w:left w:val="single" w:sz="4" w:space="0" w:color="auto"/>
              <w:bottom w:val="single" w:sz="4" w:space="0" w:color="auto"/>
              <w:right w:val="single" w:sz="4" w:space="0" w:color="auto"/>
            </w:tcBorders>
          </w:tcPr>
          <w:p w14:paraId="7DD24D16" w14:textId="2096AE1C" w:rsidR="004A22EC" w:rsidRPr="004A22EC" w:rsidRDefault="004A22EC" w:rsidP="002544B9">
            <w:pPr>
              <w:ind w:firstLine="0"/>
              <w:jc w:val="left"/>
              <w:rPr>
                <w:b/>
                <w:noProof/>
                <w:sz w:val="18"/>
                <w:szCs w:val="18"/>
              </w:rPr>
            </w:pPr>
            <w:r w:rsidRPr="004A22EC">
              <w:rPr>
                <w:b/>
                <w:noProof/>
                <w:sz w:val="18"/>
                <w:szCs w:val="18"/>
              </w:rPr>
              <w:t>Regula Nr.</w:t>
            </w:r>
            <w:r w:rsidR="007671F8">
              <w:rPr>
                <w:b/>
                <w:noProof/>
                <w:sz w:val="18"/>
                <w:szCs w:val="18"/>
              </w:rPr>
              <w:t> </w:t>
            </w:r>
            <w:r w:rsidRPr="004A22EC">
              <w:rPr>
                <w:b/>
                <w:noProof/>
                <w:sz w:val="18"/>
                <w:szCs w:val="18"/>
              </w:rPr>
              <w:t>537/2014 (Revīzijas pakalpojumi)</w:t>
            </w:r>
            <w:r>
              <w:rPr>
                <w:rStyle w:val="FootnoteReference"/>
                <w:b/>
                <w:noProof/>
                <w:sz w:val="18"/>
                <w:szCs w:val="18"/>
              </w:rPr>
              <w:footnoteReference w:id="12"/>
            </w:r>
          </w:p>
        </w:tc>
        <w:tc>
          <w:tcPr>
            <w:tcW w:w="2409" w:type="dxa"/>
            <w:tcBorders>
              <w:top w:val="single" w:sz="4" w:space="0" w:color="auto"/>
              <w:left w:val="single" w:sz="4" w:space="0" w:color="auto"/>
              <w:bottom w:val="single" w:sz="4" w:space="0" w:color="auto"/>
              <w:right w:val="single" w:sz="4" w:space="0" w:color="auto"/>
            </w:tcBorders>
          </w:tcPr>
          <w:p w14:paraId="07E431B8" w14:textId="5005F116" w:rsidR="004A22EC" w:rsidRDefault="00083B9A" w:rsidP="00B86CE7">
            <w:pPr>
              <w:ind w:firstLine="0"/>
              <w:jc w:val="left"/>
              <w:rPr>
                <w:b/>
                <w:sz w:val="18"/>
                <w:szCs w:val="18"/>
              </w:rPr>
            </w:pPr>
            <w:r>
              <w:rPr>
                <w:b/>
                <w:sz w:val="18"/>
                <w:szCs w:val="18"/>
              </w:rPr>
              <w:t xml:space="preserve">30. </w:t>
            </w:r>
            <w:r w:rsidR="004A22EC" w:rsidRPr="004A22EC">
              <w:rPr>
                <w:b/>
                <w:sz w:val="18"/>
                <w:szCs w:val="18"/>
              </w:rPr>
              <w:t>Regulas Nr. 537/2014 prasību neievērošana</w:t>
            </w:r>
          </w:p>
        </w:tc>
        <w:tc>
          <w:tcPr>
            <w:tcW w:w="2410" w:type="dxa"/>
            <w:tcBorders>
              <w:top w:val="single" w:sz="4" w:space="0" w:color="auto"/>
              <w:left w:val="single" w:sz="4" w:space="0" w:color="auto"/>
              <w:bottom w:val="single" w:sz="4" w:space="0" w:color="auto"/>
              <w:right w:val="single" w:sz="4" w:space="0" w:color="auto"/>
            </w:tcBorders>
          </w:tcPr>
          <w:p w14:paraId="58540289" w14:textId="77777777" w:rsidR="004A22EC" w:rsidRPr="008527D7" w:rsidRDefault="004A22EC"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29F21F6E" w14:textId="1FD5D78A" w:rsidR="004A22EC" w:rsidRPr="00007340" w:rsidRDefault="004A22EC" w:rsidP="00B86CE7">
            <w:pPr>
              <w:ind w:firstLine="0"/>
              <w:jc w:val="center"/>
              <w:rPr>
                <w:sz w:val="28"/>
                <w:szCs w:val="28"/>
              </w:rPr>
            </w:pPr>
            <w:r w:rsidRPr="00007340">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48AC9ABF" w14:textId="77777777" w:rsidR="004A22EC" w:rsidRPr="008527D7" w:rsidRDefault="004A22EC" w:rsidP="00B86CE7">
            <w:pPr>
              <w:ind w:firstLine="0"/>
              <w:jc w:val="center"/>
              <w:rPr>
                <w:b/>
                <w:b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20B97EC9" w14:textId="77777777" w:rsidR="004A22EC" w:rsidRPr="008527D7" w:rsidRDefault="004A22EC" w:rsidP="00B86CE7">
            <w:pPr>
              <w:ind w:firstLine="0"/>
              <w:jc w:val="center"/>
              <w:rPr>
                <w:sz w:val="28"/>
                <w:szCs w:val="28"/>
              </w:rPr>
            </w:pPr>
          </w:p>
        </w:tc>
      </w:tr>
      <w:tr w:rsidR="004A22EC" w:rsidRPr="008527D7" w14:paraId="5FA61A48" w14:textId="77777777" w:rsidTr="00DD4199">
        <w:trPr>
          <w:trHeight w:val="567"/>
        </w:trPr>
        <w:tc>
          <w:tcPr>
            <w:tcW w:w="1717" w:type="dxa"/>
            <w:tcBorders>
              <w:top w:val="single" w:sz="4" w:space="0" w:color="auto"/>
              <w:left w:val="single" w:sz="4" w:space="0" w:color="auto"/>
              <w:bottom w:val="single" w:sz="4" w:space="0" w:color="auto"/>
              <w:right w:val="single" w:sz="4" w:space="0" w:color="auto"/>
            </w:tcBorders>
          </w:tcPr>
          <w:p w14:paraId="1FA14481" w14:textId="4FA22649" w:rsidR="004A22EC" w:rsidRPr="004A22EC" w:rsidRDefault="004A22EC" w:rsidP="002544B9">
            <w:pPr>
              <w:ind w:firstLine="0"/>
              <w:jc w:val="left"/>
              <w:rPr>
                <w:b/>
                <w:noProof/>
                <w:sz w:val="18"/>
                <w:szCs w:val="18"/>
              </w:rPr>
            </w:pPr>
            <w:r w:rsidRPr="004A22EC">
              <w:rPr>
                <w:b/>
                <w:noProof/>
                <w:sz w:val="18"/>
                <w:szCs w:val="18"/>
              </w:rPr>
              <w:t>Regula Nr.</w:t>
            </w:r>
            <w:r w:rsidR="007671F8">
              <w:rPr>
                <w:b/>
                <w:noProof/>
                <w:sz w:val="18"/>
                <w:szCs w:val="18"/>
              </w:rPr>
              <w:t> </w:t>
            </w:r>
            <w:r w:rsidRPr="004A22EC">
              <w:rPr>
                <w:b/>
                <w:noProof/>
                <w:sz w:val="18"/>
                <w:szCs w:val="18"/>
              </w:rPr>
              <w:t xml:space="preserve"> 2016/1011 (</w:t>
            </w:r>
            <w:r w:rsidRPr="006958E3">
              <w:rPr>
                <w:b/>
                <w:i/>
                <w:iCs/>
                <w:noProof/>
                <w:sz w:val="18"/>
                <w:szCs w:val="18"/>
              </w:rPr>
              <w:t>Benchmark</w:t>
            </w:r>
            <w:r w:rsidRPr="004A22EC">
              <w:rPr>
                <w:b/>
                <w:noProof/>
                <w:sz w:val="18"/>
                <w:szCs w:val="18"/>
              </w:rPr>
              <w:t xml:space="preserve"> regula)</w:t>
            </w:r>
            <w:r>
              <w:rPr>
                <w:rStyle w:val="FootnoteReference"/>
                <w:b/>
                <w:noProof/>
                <w:sz w:val="18"/>
                <w:szCs w:val="18"/>
              </w:rPr>
              <w:footnoteReference w:id="13"/>
            </w:r>
          </w:p>
        </w:tc>
        <w:tc>
          <w:tcPr>
            <w:tcW w:w="2409" w:type="dxa"/>
            <w:tcBorders>
              <w:top w:val="single" w:sz="4" w:space="0" w:color="auto"/>
              <w:left w:val="single" w:sz="4" w:space="0" w:color="auto"/>
              <w:bottom w:val="single" w:sz="4" w:space="0" w:color="auto"/>
              <w:right w:val="single" w:sz="4" w:space="0" w:color="auto"/>
            </w:tcBorders>
          </w:tcPr>
          <w:p w14:paraId="08CDDAFD" w14:textId="353D0564" w:rsidR="004A22EC" w:rsidRDefault="00083B9A" w:rsidP="00B86CE7">
            <w:pPr>
              <w:ind w:firstLine="0"/>
              <w:jc w:val="left"/>
              <w:rPr>
                <w:b/>
                <w:sz w:val="18"/>
                <w:szCs w:val="18"/>
              </w:rPr>
            </w:pPr>
            <w:r>
              <w:rPr>
                <w:b/>
                <w:sz w:val="18"/>
                <w:szCs w:val="18"/>
              </w:rPr>
              <w:t xml:space="preserve">31. </w:t>
            </w:r>
            <w:r w:rsidR="004A22EC" w:rsidRPr="004A22EC">
              <w:rPr>
                <w:b/>
                <w:sz w:val="18"/>
                <w:szCs w:val="18"/>
              </w:rPr>
              <w:t>Regulas Nr. 2016/1011 prasību neievērošana</w:t>
            </w:r>
          </w:p>
        </w:tc>
        <w:tc>
          <w:tcPr>
            <w:tcW w:w="2410" w:type="dxa"/>
            <w:tcBorders>
              <w:top w:val="single" w:sz="4" w:space="0" w:color="auto"/>
              <w:left w:val="single" w:sz="4" w:space="0" w:color="auto"/>
              <w:bottom w:val="single" w:sz="4" w:space="0" w:color="auto"/>
              <w:right w:val="single" w:sz="4" w:space="0" w:color="auto"/>
            </w:tcBorders>
          </w:tcPr>
          <w:p w14:paraId="5C56D262" w14:textId="77777777" w:rsidR="004A22EC" w:rsidRPr="008527D7" w:rsidRDefault="004A22EC"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09D1D578" w14:textId="69BA9F00" w:rsidR="004A22EC" w:rsidRPr="00007340" w:rsidRDefault="004A22EC" w:rsidP="00B86CE7">
            <w:pPr>
              <w:ind w:firstLine="0"/>
              <w:jc w:val="center"/>
              <w:rPr>
                <w:sz w:val="28"/>
                <w:szCs w:val="28"/>
              </w:rPr>
            </w:pPr>
            <w:r w:rsidRPr="00007340">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51F7043B" w14:textId="77777777" w:rsidR="004A22EC" w:rsidRPr="008527D7" w:rsidRDefault="004A22EC" w:rsidP="00B86CE7">
            <w:pPr>
              <w:ind w:firstLine="0"/>
              <w:jc w:val="center"/>
              <w:rPr>
                <w:b/>
                <w:b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0C6A28A6" w14:textId="77777777" w:rsidR="004A22EC" w:rsidRPr="008527D7" w:rsidRDefault="004A22EC" w:rsidP="00B86CE7">
            <w:pPr>
              <w:ind w:firstLine="0"/>
              <w:jc w:val="center"/>
              <w:rPr>
                <w:sz w:val="28"/>
                <w:szCs w:val="28"/>
              </w:rPr>
            </w:pPr>
          </w:p>
        </w:tc>
      </w:tr>
      <w:tr w:rsidR="004A22EC" w:rsidRPr="008527D7" w14:paraId="6C0E44FD" w14:textId="77777777" w:rsidTr="00DD4199">
        <w:trPr>
          <w:trHeight w:val="567"/>
        </w:trPr>
        <w:tc>
          <w:tcPr>
            <w:tcW w:w="1717" w:type="dxa"/>
            <w:tcBorders>
              <w:top w:val="single" w:sz="4" w:space="0" w:color="auto"/>
              <w:left w:val="single" w:sz="4" w:space="0" w:color="auto"/>
              <w:bottom w:val="single" w:sz="4" w:space="0" w:color="auto"/>
              <w:right w:val="single" w:sz="4" w:space="0" w:color="auto"/>
            </w:tcBorders>
          </w:tcPr>
          <w:p w14:paraId="54FAAC88" w14:textId="1AA3AE9D" w:rsidR="004A22EC" w:rsidRPr="004A22EC" w:rsidRDefault="004A22EC" w:rsidP="002544B9">
            <w:pPr>
              <w:ind w:firstLine="0"/>
              <w:jc w:val="left"/>
              <w:rPr>
                <w:b/>
                <w:sz w:val="18"/>
                <w:szCs w:val="18"/>
              </w:rPr>
            </w:pPr>
            <w:r w:rsidRPr="004A22EC">
              <w:rPr>
                <w:b/>
                <w:sz w:val="18"/>
                <w:szCs w:val="18"/>
              </w:rPr>
              <w:t>Regula Nr.</w:t>
            </w:r>
            <w:r w:rsidR="007671F8">
              <w:rPr>
                <w:b/>
                <w:sz w:val="18"/>
                <w:szCs w:val="18"/>
              </w:rPr>
              <w:t> </w:t>
            </w:r>
            <w:r w:rsidRPr="004A22EC">
              <w:rPr>
                <w:b/>
                <w:sz w:val="18"/>
                <w:szCs w:val="18"/>
              </w:rPr>
              <w:t>1060/2009 (CRA)</w:t>
            </w:r>
            <w:r w:rsidR="004B1102">
              <w:rPr>
                <w:rStyle w:val="FootnoteReference"/>
                <w:b/>
                <w:sz w:val="18"/>
                <w:szCs w:val="18"/>
              </w:rPr>
              <w:footnoteReference w:id="14"/>
            </w:r>
          </w:p>
        </w:tc>
        <w:tc>
          <w:tcPr>
            <w:tcW w:w="2409" w:type="dxa"/>
            <w:tcBorders>
              <w:top w:val="single" w:sz="4" w:space="0" w:color="auto"/>
              <w:left w:val="single" w:sz="4" w:space="0" w:color="auto"/>
              <w:bottom w:val="single" w:sz="4" w:space="0" w:color="auto"/>
              <w:right w:val="single" w:sz="4" w:space="0" w:color="auto"/>
            </w:tcBorders>
          </w:tcPr>
          <w:p w14:paraId="2FB9AFAE" w14:textId="5614BB46" w:rsidR="004A22EC" w:rsidRDefault="00083B9A" w:rsidP="00B86CE7">
            <w:pPr>
              <w:ind w:firstLine="0"/>
              <w:jc w:val="left"/>
              <w:rPr>
                <w:b/>
                <w:sz w:val="18"/>
                <w:szCs w:val="18"/>
              </w:rPr>
            </w:pPr>
            <w:r>
              <w:rPr>
                <w:b/>
                <w:sz w:val="18"/>
                <w:szCs w:val="18"/>
              </w:rPr>
              <w:t xml:space="preserve">32. </w:t>
            </w:r>
            <w:r w:rsidR="004B1102" w:rsidRPr="004B1102">
              <w:rPr>
                <w:b/>
                <w:sz w:val="18"/>
                <w:szCs w:val="18"/>
              </w:rPr>
              <w:t>Regulas Nr. 1060/2009 prasību neievērošana</w:t>
            </w:r>
          </w:p>
        </w:tc>
        <w:tc>
          <w:tcPr>
            <w:tcW w:w="2410" w:type="dxa"/>
            <w:tcBorders>
              <w:top w:val="single" w:sz="4" w:space="0" w:color="auto"/>
              <w:left w:val="single" w:sz="4" w:space="0" w:color="auto"/>
              <w:bottom w:val="single" w:sz="4" w:space="0" w:color="auto"/>
              <w:right w:val="single" w:sz="4" w:space="0" w:color="auto"/>
            </w:tcBorders>
          </w:tcPr>
          <w:p w14:paraId="01956AA0" w14:textId="77777777" w:rsidR="004A22EC" w:rsidRPr="008527D7" w:rsidRDefault="004A22EC"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5C282961" w14:textId="3772A2FC" w:rsidR="004A22EC" w:rsidRPr="00007340" w:rsidRDefault="004A22EC" w:rsidP="00B86CE7">
            <w:pPr>
              <w:ind w:firstLine="0"/>
              <w:jc w:val="center"/>
              <w:rPr>
                <w:sz w:val="28"/>
                <w:szCs w:val="28"/>
              </w:rPr>
            </w:pPr>
            <w:r w:rsidRPr="00007340">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0BC8635B" w14:textId="77777777" w:rsidR="004A22EC" w:rsidRPr="008527D7" w:rsidRDefault="004A22EC" w:rsidP="00B86CE7">
            <w:pPr>
              <w:ind w:firstLine="0"/>
              <w:jc w:val="center"/>
              <w:rPr>
                <w:b/>
                <w:b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21985554" w14:textId="77777777" w:rsidR="004A22EC" w:rsidRPr="008527D7" w:rsidRDefault="004A22EC" w:rsidP="00B86CE7">
            <w:pPr>
              <w:ind w:firstLine="0"/>
              <w:jc w:val="center"/>
              <w:rPr>
                <w:sz w:val="28"/>
                <w:szCs w:val="28"/>
              </w:rPr>
            </w:pPr>
          </w:p>
        </w:tc>
      </w:tr>
      <w:tr w:rsidR="004B1102" w:rsidRPr="008527D7" w14:paraId="08705A85" w14:textId="77777777" w:rsidTr="00DD4199">
        <w:trPr>
          <w:trHeight w:val="567"/>
        </w:trPr>
        <w:tc>
          <w:tcPr>
            <w:tcW w:w="1717" w:type="dxa"/>
            <w:tcBorders>
              <w:top w:val="single" w:sz="4" w:space="0" w:color="auto"/>
              <w:left w:val="single" w:sz="4" w:space="0" w:color="auto"/>
              <w:bottom w:val="single" w:sz="4" w:space="0" w:color="auto"/>
              <w:right w:val="single" w:sz="4" w:space="0" w:color="auto"/>
            </w:tcBorders>
          </w:tcPr>
          <w:p w14:paraId="31455FBF" w14:textId="146E8CB0" w:rsidR="004B1102" w:rsidRPr="004A22EC" w:rsidRDefault="004B1102" w:rsidP="002544B9">
            <w:pPr>
              <w:ind w:firstLine="0"/>
              <w:jc w:val="left"/>
              <w:rPr>
                <w:b/>
                <w:sz w:val="18"/>
                <w:szCs w:val="18"/>
              </w:rPr>
            </w:pPr>
            <w:r w:rsidRPr="004B1102">
              <w:rPr>
                <w:b/>
                <w:sz w:val="18"/>
                <w:szCs w:val="18"/>
              </w:rPr>
              <w:t>Regula Nr.</w:t>
            </w:r>
            <w:r w:rsidR="007671F8">
              <w:rPr>
                <w:b/>
                <w:sz w:val="18"/>
                <w:szCs w:val="18"/>
              </w:rPr>
              <w:t> </w:t>
            </w:r>
            <w:r w:rsidRPr="004B1102">
              <w:rPr>
                <w:b/>
                <w:sz w:val="18"/>
                <w:szCs w:val="18"/>
              </w:rPr>
              <w:t>2019/2088 (ilgtspēja finanšu pakalpojumu nozarē)</w:t>
            </w:r>
            <w:r>
              <w:rPr>
                <w:rStyle w:val="FootnoteReference"/>
                <w:b/>
                <w:sz w:val="18"/>
                <w:szCs w:val="18"/>
              </w:rPr>
              <w:footnoteReference w:id="15"/>
            </w:r>
          </w:p>
        </w:tc>
        <w:tc>
          <w:tcPr>
            <w:tcW w:w="2409" w:type="dxa"/>
            <w:tcBorders>
              <w:top w:val="single" w:sz="4" w:space="0" w:color="auto"/>
              <w:left w:val="single" w:sz="4" w:space="0" w:color="auto"/>
              <w:bottom w:val="single" w:sz="4" w:space="0" w:color="auto"/>
              <w:right w:val="single" w:sz="4" w:space="0" w:color="auto"/>
            </w:tcBorders>
          </w:tcPr>
          <w:p w14:paraId="4D76F375" w14:textId="64E9ED0B" w:rsidR="004B1102" w:rsidRPr="004B1102" w:rsidRDefault="00083B9A" w:rsidP="00B86CE7">
            <w:pPr>
              <w:ind w:firstLine="0"/>
              <w:jc w:val="left"/>
              <w:rPr>
                <w:b/>
                <w:sz w:val="18"/>
                <w:szCs w:val="18"/>
              </w:rPr>
            </w:pPr>
            <w:r>
              <w:rPr>
                <w:b/>
                <w:sz w:val="18"/>
                <w:szCs w:val="18"/>
              </w:rPr>
              <w:t xml:space="preserve">33. </w:t>
            </w:r>
            <w:r w:rsidR="004B1102" w:rsidRPr="004B1102">
              <w:rPr>
                <w:b/>
                <w:sz w:val="18"/>
                <w:szCs w:val="18"/>
              </w:rPr>
              <w:t xml:space="preserve">Regulas </w:t>
            </w:r>
            <w:r w:rsidR="007671F8" w:rsidRPr="004B1102">
              <w:rPr>
                <w:b/>
                <w:sz w:val="18"/>
                <w:szCs w:val="18"/>
              </w:rPr>
              <w:t>Nr.</w:t>
            </w:r>
            <w:r w:rsidR="007671F8">
              <w:rPr>
                <w:b/>
                <w:sz w:val="18"/>
                <w:szCs w:val="18"/>
              </w:rPr>
              <w:t> </w:t>
            </w:r>
            <w:r w:rsidR="007671F8" w:rsidRPr="004B1102">
              <w:rPr>
                <w:b/>
                <w:sz w:val="18"/>
                <w:szCs w:val="18"/>
              </w:rPr>
              <w:t xml:space="preserve">2019/2088 </w:t>
            </w:r>
            <w:r w:rsidR="004B1102" w:rsidRPr="004B1102">
              <w:rPr>
                <w:b/>
                <w:sz w:val="18"/>
                <w:szCs w:val="18"/>
              </w:rPr>
              <w:t>prasību neievērošana</w:t>
            </w:r>
          </w:p>
        </w:tc>
        <w:tc>
          <w:tcPr>
            <w:tcW w:w="2410" w:type="dxa"/>
            <w:tcBorders>
              <w:top w:val="single" w:sz="4" w:space="0" w:color="auto"/>
              <w:left w:val="single" w:sz="4" w:space="0" w:color="auto"/>
              <w:bottom w:val="single" w:sz="4" w:space="0" w:color="auto"/>
              <w:right w:val="single" w:sz="4" w:space="0" w:color="auto"/>
            </w:tcBorders>
          </w:tcPr>
          <w:p w14:paraId="6766BDDF" w14:textId="77777777" w:rsidR="004B1102" w:rsidRPr="008527D7" w:rsidRDefault="004B1102"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B8F0334" w14:textId="7F35F436" w:rsidR="004B1102" w:rsidRPr="00007340" w:rsidRDefault="004B1102" w:rsidP="00B86CE7">
            <w:pPr>
              <w:ind w:firstLine="0"/>
              <w:jc w:val="center"/>
              <w:rPr>
                <w:sz w:val="28"/>
                <w:szCs w:val="28"/>
              </w:rPr>
            </w:pPr>
            <w:r w:rsidRPr="00007340">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687AD102" w14:textId="77777777" w:rsidR="004B1102" w:rsidRPr="008527D7" w:rsidRDefault="004B1102" w:rsidP="00B86CE7">
            <w:pPr>
              <w:ind w:firstLine="0"/>
              <w:jc w:val="center"/>
              <w:rPr>
                <w:b/>
                <w:b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4AB121F4" w14:textId="77777777" w:rsidR="004B1102" w:rsidRPr="008527D7" w:rsidRDefault="004B1102" w:rsidP="00B86CE7">
            <w:pPr>
              <w:ind w:firstLine="0"/>
              <w:jc w:val="center"/>
              <w:rPr>
                <w:sz w:val="28"/>
                <w:szCs w:val="28"/>
              </w:rPr>
            </w:pPr>
          </w:p>
        </w:tc>
      </w:tr>
      <w:tr w:rsidR="004B1102" w:rsidRPr="008527D7" w14:paraId="076061BA" w14:textId="77777777" w:rsidTr="00DD4199">
        <w:trPr>
          <w:trHeight w:val="567"/>
        </w:trPr>
        <w:tc>
          <w:tcPr>
            <w:tcW w:w="1717" w:type="dxa"/>
            <w:tcBorders>
              <w:top w:val="single" w:sz="4" w:space="0" w:color="auto"/>
              <w:left w:val="single" w:sz="4" w:space="0" w:color="auto"/>
              <w:bottom w:val="single" w:sz="4" w:space="0" w:color="auto"/>
              <w:right w:val="single" w:sz="4" w:space="0" w:color="auto"/>
            </w:tcBorders>
          </w:tcPr>
          <w:p w14:paraId="7202A3AB" w14:textId="7017F2A2" w:rsidR="004B1102" w:rsidRPr="004A22EC" w:rsidRDefault="004B1102" w:rsidP="002544B9">
            <w:pPr>
              <w:ind w:firstLine="0"/>
              <w:jc w:val="left"/>
              <w:rPr>
                <w:b/>
                <w:sz w:val="18"/>
                <w:szCs w:val="18"/>
              </w:rPr>
            </w:pPr>
            <w:r w:rsidRPr="004B1102">
              <w:rPr>
                <w:b/>
                <w:sz w:val="18"/>
                <w:szCs w:val="18"/>
              </w:rPr>
              <w:t>Regula Nr.</w:t>
            </w:r>
            <w:r w:rsidR="007671F8">
              <w:rPr>
                <w:b/>
                <w:sz w:val="18"/>
                <w:szCs w:val="18"/>
              </w:rPr>
              <w:t> </w:t>
            </w:r>
            <w:r w:rsidRPr="004B1102">
              <w:rPr>
                <w:b/>
                <w:sz w:val="18"/>
                <w:szCs w:val="18"/>
              </w:rPr>
              <w:t>2020/852 (ilgtspēja, nefinanšu paziņojumi)</w:t>
            </w:r>
            <w:r>
              <w:rPr>
                <w:rStyle w:val="FootnoteReference"/>
                <w:b/>
                <w:sz w:val="18"/>
                <w:szCs w:val="18"/>
              </w:rPr>
              <w:footnoteReference w:id="16"/>
            </w:r>
          </w:p>
        </w:tc>
        <w:tc>
          <w:tcPr>
            <w:tcW w:w="2409" w:type="dxa"/>
            <w:tcBorders>
              <w:top w:val="single" w:sz="4" w:space="0" w:color="auto"/>
              <w:left w:val="single" w:sz="4" w:space="0" w:color="auto"/>
              <w:bottom w:val="single" w:sz="4" w:space="0" w:color="auto"/>
              <w:right w:val="single" w:sz="4" w:space="0" w:color="auto"/>
            </w:tcBorders>
          </w:tcPr>
          <w:p w14:paraId="6A4DBFA5" w14:textId="33CE0AAB" w:rsidR="004B1102" w:rsidRPr="004B1102" w:rsidRDefault="00083B9A" w:rsidP="00B86CE7">
            <w:pPr>
              <w:ind w:firstLine="0"/>
              <w:jc w:val="left"/>
              <w:rPr>
                <w:b/>
                <w:sz w:val="18"/>
                <w:szCs w:val="18"/>
              </w:rPr>
            </w:pPr>
            <w:r>
              <w:rPr>
                <w:b/>
                <w:sz w:val="18"/>
                <w:szCs w:val="18"/>
              </w:rPr>
              <w:t xml:space="preserve">34. </w:t>
            </w:r>
            <w:r w:rsidR="004B1102" w:rsidRPr="004B1102">
              <w:rPr>
                <w:b/>
                <w:sz w:val="18"/>
                <w:szCs w:val="18"/>
              </w:rPr>
              <w:t>Regulas</w:t>
            </w:r>
            <w:r w:rsidR="007671F8" w:rsidRPr="004B1102">
              <w:rPr>
                <w:b/>
                <w:sz w:val="18"/>
                <w:szCs w:val="18"/>
              </w:rPr>
              <w:t xml:space="preserve"> Nr.</w:t>
            </w:r>
            <w:r w:rsidR="007671F8">
              <w:rPr>
                <w:b/>
                <w:sz w:val="18"/>
                <w:szCs w:val="18"/>
              </w:rPr>
              <w:t> </w:t>
            </w:r>
            <w:r w:rsidR="007671F8" w:rsidRPr="004B1102">
              <w:rPr>
                <w:b/>
                <w:sz w:val="18"/>
                <w:szCs w:val="18"/>
              </w:rPr>
              <w:t xml:space="preserve">2020/852 </w:t>
            </w:r>
            <w:r w:rsidR="004B1102" w:rsidRPr="004B1102">
              <w:rPr>
                <w:b/>
                <w:sz w:val="18"/>
                <w:szCs w:val="18"/>
              </w:rPr>
              <w:t xml:space="preserve"> prasību neievērošana</w:t>
            </w:r>
          </w:p>
        </w:tc>
        <w:tc>
          <w:tcPr>
            <w:tcW w:w="2410" w:type="dxa"/>
            <w:tcBorders>
              <w:top w:val="single" w:sz="4" w:space="0" w:color="auto"/>
              <w:left w:val="single" w:sz="4" w:space="0" w:color="auto"/>
              <w:bottom w:val="single" w:sz="4" w:space="0" w:color="auto"/>
              <w:right w:val="single" w:sz="4" w:space="0" w:color="auto"/>
            </w:tcBorders>
          </w:tcPr>
          <w:p w14:paraId="43BE05C4" w14:textId="77777777" w:rsidR="004B1102" w:rsidRPr="008527D7" w:rsidRDefault="004B1102"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BF00E76" w14:textId="53E6ADA8" w:rsidR="004B1102" w:rsidRPr="00007340" w:rsidRDefault="004B1102" w:rsidP="00B86CE7">
            <w:pPr>
              <w:ind w:firstLine="0"/>
              <w:jc w:val="center"/>
              <w:rPr>
                <w:sz w:val="28"/>
                <w:szCs w:val="28"/>
              </w:rPr>
            </w:pPr>
            <w:r w:rsidRPr="00007340">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7367B209" w14:textId="77777777" w:rsidR="004B1102" w:rsidRPr="008527D7" w:rsidRDefault="004B1102" w:rsidP="00B86CE7">
            <w:pPr>
              <w:ind w:firstLine="0"/>
              <w:jc w:val="center"/>
              <w:rPr>
                <w:b/>
                <w:b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6C25F622" w14:textId="77777777" w:rsidR="004B1102" w:rsidRPr="008527D7" w:rsidRDefault="004B1102" w:rsidP="00B86CE7">
            <w:pPr>
              <w:ind w:firstLine="0"/>
              <w:jc w:val="center"/>
              <w:rPr>
                <w:sz w:val="28"/>
                <w:szCs w:val="28"/>
              </w:rPr>
            </w:pPr>
          </w:p>
        </w:tc>
      </w:tr>
      <w:tr w:rsidR="00083B9A" w:rsidRPr="008527D7" w14:paraId="018CB833" w14:textId="77777777" w:rsidTr="00DD4199">
        <w:trPr>
          <w:trHeight w:val="567"/>
        </w:trPr>
        <w:tc>
          <w:tcPr>
            <w:tcW w:w="1717" w:type="dxa"/>
            <w:tcBorders>
              <w:top w:val="single" w:sz="4" w:space="0" w:color="auto"/>
              <w:left w:val="single" w:sz="4" w:space="0" w:color="auto"/>
              <w:bottom w:val="single" w:sz="4" w:space="0" w:color="auto"/>
              <w:right w:val="single" w:sz="4" w:space="0" w:color="auto"/>
            </w:tcBorders>
          </w:tcPr>
          <w:p w14:paraId="7F9889A8" w14:textId="0BC007C2" w:rsidR="00083B9A" w:rsidRPr="004B1102" w:rsidRDefault="00083B9A" w:rsidP="002544B9">
            <w:pPr>
              <w:ind w:firstLine="0"/>
              <w:jc w:val="left"/>
              <w:rPr>
                <w:b/>
                <w:sz w:val="18"/>
                <w:szCs w:val="18"/>
              </w:rPr>
            </w:pPr>
            <w:r w:rsidRPr="00083B9A">
              <w:rPr>
                <w:b/>
                <w:sz w:val="18"/>
                <w:szCs w:val="18"/>
              </w:rPr>
              <w:t>Ieguldītāju aizsardzības likums</w:t>
            </w:r>
          </w:p>
        </w:tc>
        <w:tc>
          <w:tcPr>
            <w:tcW w:w="2409" w:type="dxa"/>
            <w:tcBorders>
              <w:top w:val="single" w:sz="4" w:space="0" w:color="auto"/>
              <w:left w:val="single" w:sz="4" w:space="0" w:color="auto"/>
              <w:bottom w:val="single" w:sz="4" w:space="0" w:color="auto"/>
              <w:right w:val="single" w:sz="4" w:space="0" w:color="auto"/>
            </w:tcBorders>
          </w:tcPr>
          <w:p w14:paraId="19E5ECEB" w14:textId="13E21143" w:rsidR="00083B9A" w:rsidRDefault="00083B9A" w:rsidP="00B86CE7">
            <w:pPr>
              <w:ind w:firstLine="0"/>
              <w:jc w:val="left"/>
              <w:rPr>
                <w:b/>
                <w:sz w:val="18"/>
                <w:szCs w:val="18"/>
              </w:rPr>
            </w:pPr>
            <w:r>
              <w:rPr>
                <w:b/>
                <w:sz w:val="18"/>
                <w:szCs w:val="18"/>
              </w:rPr>
              <w:t xml:space="preserve">35. </w:t>
            </w:r>
            <w:r w:rsidRPr="00083B9A">
              <w:rPr>
                <w:b/>
                <w:sz w:val="18"/>
                <w:szCs w:val="18"/>
              </w:rPr>
              <w:t xml:space="preserve">Iemaksu </w:t>
            </w:r>
            <w:r w:rsidR="007671F8">
              <w:rPr>
                <w:b/>
                <w:sz w:val="18"/>
                <w:szCs w:val="18"/>
              </w:rPr>
              <w:t>ieguldītāju aizsardzības sistēmā</w:t>
            </w:r>
            <w:r w:rsidRPr="00083B9A">
              <w:rPr>
                <w:b/>
                <w:sz w:val="18"/>
                <w:szCs w:val="18"/>
              </w:rPr>
              <w:t xml:space="preserve"> veikšanas kavējum</w:t>
            </w:r>
            <w:r w:rsidR="004A61BA">
              <w:rPr>
                <w:b/>
                <w:sz w:val="18"/>
                <w:szCs w:val="18"/>
              </w:rPr>
              <w:t>i</w:t>
            </w:r>
          </w:p>
        </w:tc>
        <w:tc>
          <w:tcPr>
            <w:tcW w:w="2410" w:type="dxa"/>
            <w:tcBorders>
              <w:top w:val="single" w:sz="4" w:space="0" w:color="auto"/>
              <w:left w:val="single" w:sz="4" w:space="0" w:color="auto"/>
              <w:bottom w:val="single" w:sz="4" w:space="0" w:color="auto"/>
              <w:right w:val="single" w:sz="4" w:space="0" w:color="auto"/>
            </w:tcBorders>
          </w:tcPr>
          <w:p w14:paraId="24BEA2A7" w14:textId="77777777" w:rsidR="00083B9A" w:rsidRPr="008527D7" w:rsidRDefault="00083B9A"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072ABBF" w14:textId="438B3DF8" w:rsidR="00083B9A" w:rsidRPr="00007340" w:rsidRDefault="00083B9A" w:rsidP="00B86CE7">
            <w:pPr>
              <w:ind w:firstLine="0"/>
              <w:jc w:val="center"/>
              <w:rPr>
                <w:sz w:val="28"/>
                <w:szCs w:val="28"/>
              </w:rPr>
            </w:pPr>
            <w:r>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0A339861" w14:textId="77777777" w:rsidR="00083B9A" w:rsidRPr="008527D7" w:rsidRDefault="00083B9A" w:rsidP="00B86CE7">
            <w:pPr>
              <w:ind w:firstLine="0"/>
              <w:jc w:val="center"/>
              <w:rPr>
                <w:b/>
                <w:b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78697A7B" w14:textId="77777777" w:rsidR="00083B9A" w:rsidRPr="008527D7" w:rsidRDefault="00083B9A" w:rsidP="00B86CE7">
            <w:pPr>
              <w:ind w:firstLine="0"/>
              <w:jc w:val="center"/>
              <w:rPr>
                <w:sz w:val="28"/>
                <w:szCs w:val="28"/>
              </w:rPr>
            </w:pPr>
          </w:p>
        </w:tc>
      </w:tr>
      <w:tr w:rsidR="006D1E6E" w:rsidRPr="008527D7" w14:paraId="32DD1146" w14:textId="77777777" w:rsidTr="004D29C1">
        <w:trPr>
          <w:trHeight w:val="567"/>
        </w:trPr>
        <w:tc>
          <w:tcPr>
            <w:tcW w:w="1717" w:type="dxa"/>
            <w:tcBorders>
              <w:top w:val="single" w:sz="4" w:space="0" w:color="auto"/>
              <w:left w:val="single" w:sz="4" w:space="0" w:color="auto"/>
              <w:bottom w:val="single" w:sz="4" w:space="0" w:color="auto"/>
              <w:right w:val="single" w:sz="4" w:space="0" w:color="auto"/>
            </w:tcBorders>
          </w:tcPr>
          <w:p w14:paraId="081ED8AF" w14:textId="1014851A" w:rsidR="006D1E6E" w:rsidRPr="00A901B7" w:rsidRDefault="006D1E6E" w:rsidP="00B86CE7">
            <w:pPr>
              <w:ind w:firstLine="0"/>
              <w:jc w:val="left"/>
              <w:rPr>
                <w:b/>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26B602F" w14:textId="45437999" w:rsidR="006D1E6E" w:rsidRPr="00A901B7" w:rsidRDefault="00083B9A" w:rsidP="00B86CE7">
            <w:pPr>
              <w:ind w:firstLine="0"/>
              <w:jc w:val="left"/>
              <w:rPr>
                <w:b/>
                <w:sz w:val="18"/>
                <w:szCs w:val="18"/>
              </w:rPr>
            </w:pPr>
            <w:r>
              <w:rPr>
                <w:b/>
                <w:sz w:val="18"/>
                <w:szCs w:val="18"/>
              </w:rPr>
              <w:t>36</w:t>
            </w:r>
            <w:r w:rsidR="000C38D5">
              <w:rPr>
                <w:b/>
                <w:sz w:val="18"/>
                <w:szCs w:val="18"/>
              </w:rPr>
              <w:t xml:space="preserve">. </w:t>
            </w:r>
            <w:r w:rsidR="002544B9" w:rsidRPr="002544B9">
              <w:rPr>
                <w:b/>
                <w:sz w:val="18"/>
                <w:szCs w:val="18"/>
              </w:rPr>
              <w:t>Citi neminētie pārkāpumi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C559DCE" w14:textId="77777777" w:rsidR="006D1E6E" w:rsidRPr="008527D7" w:rsidRDefault="006D1E6E"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B939A30" w14:textId="77777777" w:rsidR="006D1E6E" w:rsidRPr="00007340" w:rsidRDefault="006D1E6E" w:rsidP="00B86CE7">
            <w:pPr>
              <w:ind w:firstLine="0"/>
              <w:jc w:val="center"/>
              <w:rPr>
                <w:sz w:val="28"/>
                <w:szCs w:val="28"/>
              </w:rPr>
            </w:pPr>
            <w:r w:rsidRPr="00007340">
              <w:rPr>
                <w:sz w:val="28"/>
                <w:szCs w:val="28"/>
              </w:rPr>
              <w:t>X</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88EFFAC" w14:textId="77777777" w:rsidR="006D1E6E" w:rsidRPr="008527D7" w:rsidRDefault="006D1E6E" w:rsidP="00B86CE7">
            <w:pPr>
              <w:ind w:firstLine="0"/>
              <w:jc w:val="center"/>
              <w:rPr>
                <w:b/>
                <w:bCs/>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0F35A54" w14:textId="77777777" w:rsidR="006D1E6E" w:rsidRPr="008527D7" w:rsidRDefault="006D1E6E" w:rsidP="00B86CE7">
            <w:pPr>
              <w:ind w:firstLine="0"/>
              <w:jc w:val="center"/>
              <w:rPr>
                <w:sz w:val="28"/>
                <w:szCs w:val="28"/>
              </w:rPr>
            </w:pPr>
          </w:p>
        </w:tc>
      </w:tr>
    </w:tbl>
    <w:p w14:paraId="6652C7C0" w14:textId="77777777" w:rsidR="006D1E6E" w:rsidRDefault="006D1E6E"/>
    <w:sectPr w:rsidR="006D1E6E" w:rsidSect="00B343BE">
      <w:headerReference w:type="default" r:id="rId7"/>
      <w:pgSz w:w="15840" w:h="12240"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9FC1" w14:textId="77777777" w:rsidR="00B56EE5" w:rsidRDefault="00B56EE5" w:rsidP="006D1E6E">
      <w:r>
        <w:separator/>
      </w:r>
    </w:p>
  </w:endnote>
  <w:endnote w:type="continuationSeparator" w:id="0">
    <w:p w14:paraId="6F3FE018" w14:textId="77777777" w:rsidR="00B56EE5" w:rsidRDefault="00B56EE5" w:rsidP="006D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B86A9" w14:textId="77777777" w:rsidR="00B56EE5" w:rsidRDefault="00B56EE5" w:rsidP="006D1E6E">
      <w:r>
        <w:separator/>
      </w:r>
    </w:p>
  </w:footnote>
  <w:footnote w:type="continuationSeparator" w:id="0">
    <w:p w14:paraId="6FFCB57C" w14:textId="77777777" w:rsidR="00B56EE5" w:rsidRDefault="00B56EE5" w:rsidP="006D1E6E">
      <w:r>
        <w:continuationSeparator/>
      </w:r>
    </w:p>
  </w:footnote>
  <w:footnote w:id="1">
    <w:p w14:paraId="3E26B4FA" w14:textId="6EF85915" w:rsidR="004B1102" w:rsidRPr="004B1102" w:rsidRDefault="004B1102" w:rsidP="006958E3">
      <w:pPr>
        <w:pStyle w:val="FootnoteText"/>
        <w:ind w:firstLine="0"/>
        <w:rPr>
          <w:lang w:val="en-US"/>
        </w:rPr>
      </w:pPr>
      <w:r>
        <w:rPr>
          <w:rStyle w:val="FootnoteReference"/>
        </w:rPr>
        <w:footnoteRef/>
      </w:r>
      <w:r>
        <w:t xml:space="preserve"> </w:t>
      </w:r>
      <w:r w:rsidRPr="004B1102">
        <w:t xml:space="preserve">Attiecas uz emitentiem, ieguldītājiem, centrālajiem </w:t>
      </w:r>
      <w:r w:rsidR="00555E10">
        <w:t xml:space="preserve">vērtspapīru </w:t>
      </w:r>
      <w:r w:rsidRPr="004B1102">
        <w:t>depozitārijiem, regulētā tirgus organizētājiem, ieguldījumu pakalpojumu sniedzēj</w:t>
      </w:r>
      <w:r w:rsidR="00555E10">
        <w:t>ie</w:t>
      </w:r>
      <w:r w:rsidRPr="004B1102">
        <w:t xml:space="preserve">m, daudzpusējās tirdzniecības sistēmas </w:t>
      </w:r>
      <w:r w:rsidRPr="0041488F">
        <w:t>uzturētāj</w:t>
      </w:r>
      <w:r w:rsidR="00555E10" w:rsidRPr="0041488F">
        <w:t>ie</w:t>
      </w:r>
      <w:r w:rsidRPr="0041488F">
        <w:t>m un citām personām piemērojamām</w:t>
      </w:r>
      <w:r w:rsidRPr="004B1102">
        <w:t xml:space="preserve"> sankcij</w:t>
      </w:r>
      <w:r w:rsidR="0041488F">
        <w:t>ām.</w:t>
      </w:r>
    </w:p>
  </w:footnote>
  <w:footnote w:id="2">
    <w:p w14:paraId="42C39902" w14:textId="37337CDE" w:rsidR="00F66C07" w:rsidRPr="00F66C07" w:rsidRDefault="00F66C07" w:rsidP="006958E3">
      <w:pPr>
        <w:pStyle w:val="FootnoteText"/>
        <w:ind w:firstLine="0"/>
      </w:pPr>
      <w:r>
        <w:rPr>
          <w:rStyle w:val="FootnoteReference"/>
        </w:rPr>
        <w:footnoteRef/>
      </w:r>
      <w:r>
        <w:t xml:space="preserve"> </w:t>
      </w:r>
      <w:r w:rsidRPr="00F66C07">
        <w:t>Finanšu instrument</w:t>
      </w:r>
      <w:r w:rsidR="00555E10">
        <w:t>u</w:t>
      </w:r>
      <w:r w:rsidRPr="00F66C07">
        <w:t xml:space="preserve"> tirgus likums</w:t>
      </w:r>
      <w:r w:rsidR="00555E10">
        <w:t>.</w:t>
      </w:r>
    </w:p>
  </w:footnote>
  <w:footnote w:id="3">
    <w:p w14:paraId="7A5B22E6" w14:textId="487E7A75" w:rsidR="00F66C07" w:rsidRPr="00F66C07" w:rsidRDefault="00F66C07" w:rsidP="006958E3">
      <w:pPr>
        <w:pStyle w:val="FootnoteText"/>
        <w:ind w:firstLine="0"/>
      </w:pPr>
      <w:r>
        <w:rPr>
          <w:rStyle w:val="FootnoteReference"/>
        </w:rPr>
        <w:footnoteRef/>
      </w:r>
      <w:r>
        <w:t xml:space="preserve"> Ieguldījumu brokeru sabiedrīb</w:t>
      </w:r>
      <w:r w:rsidR="00555E10">
        <w:t>u</w:t>
      </w:r>
      <w:r>
        <w:t xml:space="preserve"> likums</w:t>
      </w:r>
      <w:r w:rsidR="00555E10">
        <w:t>.</w:t>
      </w:r>
    </w:p>
  </w:footnote>
  <w:footnote w:id="4">
    <w:p w14:paraId="6C4F6200" w14:textId="65583380" w:rsidR="00372985" w:rsidRPr="00372985" w:rsidRDefault="00372985" w:rsidP="006958E3">
      <w:pPr>
        <w:pStyle w:val="FootnoteText"/>
        <w:ind w:firstLine="0"/>
      </w:pPr>
      <w:r>
        <w:rPr>
          <w:rStyle w:val="FootnoteReference"/>
        </w:rPr>
        <w:footnoteRef/>
      </w:r>
      <w:r>
        <w:t xml:space="preserve"> Akciju atpirkšanas likums</w:t>
      </w:r>
      <w:r w:rsidR="00555E10">
        <w:t>.</w:t>
      </w:r>
    </w:p>
  </w:footnote>
  <w:footnote w:id="5">
    <w:p w14:paraId="25944902" w14:textId="4862ED66" w:rsidR="002544B9" w:rsidRPr="003977D5" w:rsidRDefault="002544B9" w:rsidP="006958E3">
      <w:pPr>
        <w:pStyle w:val="FootnoteText"/>
        <w:ind w:firstLine="0"/>
      </w:pPr>
      <w:r>
        <w:rPr>
          <w:rStyle w:val="FootnoteReference"/>
        </w:rPr>
        <w:footnoteRef/>
      </w:r>
      <w:r>
        <w:t xml:space="preserve"> </w:t>
      </w:r>
      <w:r w:rsidRPr="00712119">
        <w:rPr>
          <w:rFonts w:eastAsiaTheme="minorHAnsi"/>
          <w:lang w:eastAsia="en-US"/>
        </w:rPr>
        <w:t>Regula (ES) Nr. 1286/2014 (2014. gada 26. novembris) par komplektētu privāto ieguldījumu un apdrošināšanas ieguldījumu produktu (</w:t>
      </w:r>
      <w:r w:rsidRPr="006958E3">
        <w:rPr>
          <w:rFonts w:eastAsiaTheme="minorHAnsi"/>
          <w:i/>
          <w:iCs/>
          <w:lang w:eastAsia="en-US"/>
        </w:rPr>
        <w:t>PRIIP</w:t>
      </w:r>
      <w:r w:rsidRPr="00712119">
        <w:rPr>
          <w:rFonts w:eastAsiaTheme="minorHAnsi"/>
          <w:lang w:eastAsia="en-US"/>
        </w:rPr>
        <w:t>) pamatinformācijas dokumentiem</w:t>
      </w:r>
      <w:r w:rsidR="00555E10">
        <w:rPr>
          <w:rFonts w:eastAsiaTheme="minorHAnsi"/>
          <w:lang w:eastAsia="en-US"/>
        </w:rPr>
        <w:t>.</w:t>
      </w:r>
    </w:p>
  </w:footnote>
  <w:footnote w:id="6">
    <w:p w14:paraId="124C533C" w14:textId="11B07868" w:rsidR="008278D3" w:rsidRPr="008278D3" w:rsidRDefault="008278D3" w:rsidP="006958E3">
      <w:pPr>
        <w:pStyle w:val="FootnoteText"/>
        <w:ind w:firstLine="0"/>
      </w:pPr>
      <w:r>
        <w:rPr>
          <w:rStyle w:val="FootnoteReference"/>
        </w:rPr>
        <w:footnoteRef/>
      </w:r>
      <w:r>
        <w:t xml:space="preserve"> </w:t>
      </w:r>
      <w:r w:rsidRPr="008278D3">
        <w:t>Regula (ES) Nr. 596/2014 (2014. gada 16. aprīlis) par tirgus ļaunprātīgu izmantošanu (tirgus ļaunprātīgas izmantošanas regula) un ar ko atceļ Eiropas Parlamenta un Padomes Direktīvu 2003/6/EK un Komisijas Direktīvas 2003/124/EK, 2003/125/EK un 2004/72/EK</w:t>
      </w:r>
      <w:r w:rsidR="00555E10">
        <w:t>.</w:t>
      </w:r>
    </w:p>
  </w:footnote>
  <w:footnote w:id="7">
    <w:p w14:paraId="5CB65A50" w14:textId="5895993D" w:rsidR="004A22EC" w:rsidRPr="004A22EC" w:rsidRDefault="004A22EC" w:rsidP="006958E3">
      <w:pPr>
        <w:pStyle w:val="FootnoteText"/>
        <w:ind w:firstLine="0"/>
        <w:rPr>
          <w:noProof/>
          <w:lang w:val="en-US"/>
        </w:rPr>
      </w:pPr>
      <w:r>
        <w:rPr>
          <w:rStyle w:val="FootnoteReference"/>
          <w:noProof/>
        </w:rPr>
        <w:footnoteRef/>
      </w:r>
      <w:r>
        <w:rPr>
          <w:noProof/>
        </w:rPr>
        <w:t xml:space="preserve"> </w:t>
      </w:r>
      <w:r w:rsidRPr="004A22EC">
        <w:rPr>
          <w:noProof/>
        </w:rPr>
        <w:t>Regula (ES) Nr. 600/2014 (2014. gada 15. maijs) par finanšu instrumentu tirgiem un ar ko groza Regulu (ES) Nr. 648/2012</w:t>
      </w:r>
      <w:r w:rsidR="00555E10">
        <w:rPr>
          <w:noProof/>
        </w:rPr>
        <w:t>.</w:t>
      </w:r>
    </w:p>
  </w:footnote>
  <w:footnote w:id="8">
    <w:p w14:paraId="4CCFFE80" w14:textId="30559CC7" w:rsidR="004A22EC" w:rsidRPr="004A22EC" w:rsidRDefault="004A22EC" w:rsidP="006958E3">
      <w:pPr>
        <w:pStyle w:val="FootnoteText"/>
        <w:ind w:firstLine="0"/>
        <w:rPr>
          <w:noProof/>
          <w:lang w:val="en-US"/>
        </w:rPr>
      </w:pPr>
      <w:r>
        <w:rPr>
          <w:rStyle w:val="FootnoteReference"/>
          <w:noProof/>
        </w:rPr>
        <w:footnoteRef/>
      </w:r>
      <w:r>
        <w:rPr>
          <w:noProof/>
        </w:rPr>
        <w:t xml:space="preserve"> </w:t>
      </w:r>
      <w:r w:rsidRPr="004A22EC">
        <w:rPr>
          <w:noProof/>
        </w:rPr>
        <w:t>Regula (ES) Nr. 909/2014 (2014. gada 23. jūlijs) par vērtspapīru norēķinu uzlabošanu Eiropas Savienībā, centrālajiem vērtspapīru depozitārijiem un grozījumiem Direktīvās 98/26/EK un 2014/65/ES un Regulā (ES) Nr. 236/2012</w:t>
      </w:r>
      <w:r w:rsidR="00555E10">
        <w:rPr>
          <w:noProof/>
        </w:rPr>
        <w:t>.</w:t>
      </w:r>
    </w:p>
  </w:footnote>
  <w:footnote w:id="9">
    <w:p w14:paraId="764BBC3C" w14:textId="661013D6" w:rsidR="004A22EC" w:rsidRPr="004A22EC" w:rsidRDefault="004A22EC" w:rsidP="006958E3">
      <w:pPr>
        <w:pStyle w:val="FootnoteText"/>
        <w:ind w:firstLine="0"/>
        <w:rPr>
          <w:lang w:val="en-US"/>
        </w:rPr>
      </w:pPr>
      <w:r>
        <w:rPr>
          <w:rStyle w:val="FootnoteReference"/>
          <w:noProof/>
        </w:rPr>
        <w:footnoteRef/>
      </w:r>
      <w:r>
        <w:rPr>
          <w:noProof/>
        </w:rPr>
        <w:t xml:space="preserve"> </w:t>
      </w:r>
      <w:r w:rsidRPr="004A22EC">
        <w:rPr>
          <w:noProof/>
        </w:rPr>
        <w:t>Regula (ES) Nr. 648/2012 (2012. gada 4. jūlijs) par ārpusbiržas atvasinātajiem instrumentiem, centrālajiem darījumu partneriem un darījumu reģistriem</w:t>
      </w:r>
      <w:r w:rsidR="00555E10">
        <w:t>.</w:t>
      </w:r>
    </w:p>
  </w:footnote>
  <w:footnote w:id="10">
    <w:p w14:paraId="6A0CD3FC" w14:textId="4B5A11E7" w:rsidR="004A22EC" w:rsidRPr="004A22EC" w:rsidRDefault="004A22EC" w:rsidP="006958E3">
      <w:pPr>
        <w:pStyle w:val="FootnoteText"/>
        <w:ind w:firstLine="0"/>
        <w:rPr>
          <w:noProof/>
          <w:lang w:val="en-US"/>
        </w:rPr>
      </w:pPr>
      <w:r>
        <w:rPr>
          <w:rStyle w:val="FootnoteReference"/>
          <w:noProof/>
        </w:rPr>
        <w:footnoteRef/>
      </w:r>
      <w:r>
        <w:rPr>
          <w:noProof/>
        </w:rPr>
        <w:t xml:space="preserve"> </w:t>
      </w:r>
      <w:r w:rsidRPr="004A22EC">
        <w:rPr>
          <w:noProof/>
        </w:rPr>
        <w:t>Regula (ES) 2015/2365 (2015. gada 25. novembris) par vērtspapīru finansēšanas darījumu un atkalizmantošanas pārredzamību un ar ko groza Regulu (ES)</w:t>
      </w:r>
      <w:r w:rsidR="00593DA0">
        <w:rPr>
          <w:noProof/>
        </w:rPr>
        <w:t> </w:t>
      </w:r>
      <w:r w:rsidRPr="004A22EC">
        <w:rPr>
          <w:noProof/>
        </w:rPr>
        <w:t>Nr.</w:t>
      </w:r>
      <w:r w:rsidR="006A1BC0">
        <w:rPr>
          <w:noProof/>
        </w:rPr>
        <w:t> </w:t>
      </w:r>
      <w:r w:rsidRPr="004A22EC">
        <w:rPr>
          <w:noProof/>
        </w:rPr>
        <w:t>648/2012</w:t>
      </w:r>
      <w:r w:rsidR="007671F8">
        <w:rPr>
          <w:noProof/>
        </w:rPr>
        <w:t>.</w:t>
      </w:r>
    </w:p>
  </w:footnote>
  <w:footnote w:id="11">
    <w:p w14:paraId="7069AC6E" w14:textId="00977B1D" w:rsidR="004A22EC" w:rsidRPr="004A22EC" w:rsidRDefault="004A22EC" w:rsidP="006958E3">
      <w:pPr>
        <w:pStyle w:val="FootnoteText"/>
        <w:ind w:firstLine="0"/>
        <w:rPr>
          <w:noProof/>
          <w:lang w:val="en-US"/>
        </w:rPr>
      </w:pPr>
      <w:r>
        <w:rPr>
          <w:rStyle w:val="FootnoteReference"/>
          <w:noProof/>
        </w:rPr>
        <w:footnoteRef/>
      </w:r>
      <w:r>
        <w:rPr>
          <w:noProof/>
        </w:rPr>
        <w:t xml:space="preserve"> </w:t>
      </w:r>
      <w:r w:rsidRPr="004A22EC">
        <w:rPr>
          <w:noProof/>
        </w:rPr>
        <w:t>Regula (ES) Nr. 236/2012 (2012. gada 14. marts) par īso pārdošanu un dažiem kredītriska mijmaiņas darījumu aspektiem</w:t>
      </w:r>
      <w:r w:rsidR="007671F8">
        <w:rPr>
          <w:noProof/>
        </w:rPr>
        <w:t>.</w:t>
      </w:r>
    </w:p>
  </w:footnote>
  <w:footnote w:id="12">
    <w:p w14:paraId="73C41BF9" w14:textId="6D9B156E" w:rsidR="004A22EC" w:rsidRPr="004A22EC" w:rsidRDefault="004A22EC" w:rsidP="006958E3">
      <w:pPr>
        <w:pStyle w:val="FootnoteText"/>
        <w:ind w:firstLine="0"/>
        <w:rPr>
          <w:noProof/>
          <w:lang w:val="en-US"/>
        </w:rPr>
      </w:pPr>
      <w:r>
        <w:rPr>
          <w:rStyle w:val="FootnoteReference"/>
          <w:noProof/>
        </w:rPr>
        <w:footnoteRef/>
      </w:r>
      <w:r>
        <w:rPr>
          <w:noProof/>
        </w:rPr>
        <w:t xml:space="preserve"> </w:t>
      </w:r>
      <w:r w:rsidRPr="004A22EC">
        <w:rPr>
          <w:noProof/>
        </w:rPr>
        <w:t>Regula (ES) Nr. 537/2014 (2014. gada 16. aprīlis) par īpašām prasībām attiecībā uz obligātajām revīzijām sabiedriskas nozīmes struktūrās un ar ko atceļ Komisijas Lēmumu 2005/909/EK</w:t>
      </w:r>
      <w:r w:rsidR="007671F8">
        <w:rPr>
          <w:noProof/>
        </w:rPr>
        <w:t>.</w:t>
      </w:r>
    </w:p>
  </w:footnote>
  <w:footnote w:id="13">
    <w:p w14:paraId="603BC107" w14:textId="719220AF" w:rsidR="004A22EC" w:rsidRPr="004A22EC" w:rsidRDefault="004A22EC" w:rsidP="006958E3">
      <w:pPr>
        <w:pStyle w:val="FootnoteText"/>
        <w:ind w:firstLine="0"/>
        <w:rPr>
          <w:noProof/>
          <w:lang w:val="en-US"/>
        </w:rPr>
      </w:pPr>
      <w:r>
        <w:rPr>
          <w:rStyle w:val="FootnoteReference"/>
          <w:noProof/>
        </w:rPr>
        <w:footnoteRef/>
      </w:r>
      <w:r>
        <w:rPr>
          <w:noProof/>
        </w:rPr>
        <w:t xml:space="preserve"> </w:t>
      </w:r>
      <w:r w:rsidRPr="004A22EC">
        <w:rPr>
          <w:noProof/>
        </w:rPr>
        <w:t>Regula (ES) 2016/1011 (2016. gada 8. jūnijs) par indeksiem, ko izmanto kā etalonus finanšu instrumentos un finanšu līgumos vai ieguldījumu fondu darbības rezultātu mērīšanai, un ar kuru groza Direktīvu 2008/48/EK, Direktīvu 2014/17/ES un Regulu (ES) Nr. 596/2014</w:t>
      </w:r>
      <w:r w:rsidR="007671F8">
        <w:rPr>
          <w:noProof/>
        </w:rPr>
        <w:t>.</w:t>
      </w:r>
    </w:p>
  </w:footnote>
  <w:footnote w:id="14">
    <w:p w14:paraId="56DEE13C" w14:textId="345EA587" w:rsidR="004B1102" w:rsidRPr="004B1102" w:rsidRDefault="004B1102" w:rsidP="006958E3">
      <w:pPr>
        <w:pStyle w:val="FootnoteText"/>
        <w:ind w:firstLine="0"/>
        <w:rPr>
          <w:noProof/>
          <w:lang w:val="en-US"/>
        </w:rPr>
      </w:pPr>
      <w:r>
        <w:rPr>
          <w:rStyle w:val="FootnoteReference"/>
          <w:noProof/>
        </w:rPr>
        <w:footnoteRef/>
      </w:r>
      <w:r>
        <w:rPr>
          <w:noProof/>
        </w:rPr>
        <w:t xml:space="preserve"> </w:t>
      </w:r>
      <w:r w:rsidRPr="004B1102">
        <w:rPr>
          <w:noProof/>
        </w:rPr>
        <w:t>Regula (EK) Nr. 1060/2009 (2009. gada 16. septembris) par kredītreitingu aģentūrām</w:t>
      </w:r>
      <w:r w:rsidR="007671F8">
        <w:rPr>
          <w:noProof/>
        </w:rPr>
        <w:t>.</w:t>
      </w:r>
    </w:p>
  </w:footnote>
  <w:footnote w:id="15">
    <w:p w14:paraId="66B0EA72" w14:textId="2E010A9B" w:rsidR="004B1102" w:rsidRPr="004B1102" w:rsidRDefault="004B1102" w:rsidP="006958E3">
      <w:pPr>
        <w:pStyle w:val="FootnoteText"/>
        <w:ind w:firstLine="0"/>
        <w:rPr>
          <w:noProof/>
          <w:lang w:val="en-US"/>
        </w:rPr>
      </w:pPr>
      <w:r>
        <w:rPr>
          <w:rStyle w:val="FootnoteReference"/>
          <w:noProof/>
        </w:rPr>
        <w:footnoteRef/>
      </w:r>
      <w:r>
        <w:rPr>
          <w:noProof/>
        </w:rPr>
        <w:t xml:space="preserve"> </w:t>
      </w:r>
      <w:r w:rsidRPr="004B1102">
        <w:rPr>
          <w:noProof/>
        </w:rPr>
        <w:t>Regula (ES) 2019/2088 (2019. gada 27. novembris) par informācijas atklāšanu, kas saistīta ar ilgtspēju, finanšu pakalpojumu nozarē</w:t>
      </w:r>
      <w:r w:rsidR="007671F8">
        <w:rPr>
          <w:noProof/>
        </w:rPr>
        <w:t>.</w:t>
      </w:r>
    </w:p>
  </w:footnote>
  <w:footnote w:id="16">
    <w:p w14:paraId="5CB05F2C" w14:textId="7900989F" w:rsidR="004B1102" w:rsidRPr="004B1102" w:rsidRDefault="004B1102" w:rsidP="006958E3">
      <w:pPr>
        <w:pStyle w:val="FootnoteText"/>
        <w:ind w:firstLine="0"/>
        <w:rPr>
          <w:lang w:val="en-US"/>
        </w:rPr>
      </w:pPr>
      <w:r>
        <w:rPr>
          <w:rStyle w:val="FootnoteReference"/>
          <w:noProof/>
        </w:rPr>
        <w:footnoteRef/>
      </w:r>
      <w:r>
        <w:rPr>
          <w:noProof/>
        </w:rPr>
        <w:t xml:space="preserve"> </w:t>
      </w:r>
      <w:r w:rsidRPr="004B1102">
        <w:rPr>
          <w:noProof/>
        </w:rPr>
        <w:t>Regula (ES) 2020/852 (2020. gada 18. jūnijs) par regulējuma izveidi ilgtspējīgu ieguldījumu veicināšanai un ar ko groza Regulu (ES) 2019/2088</w:t>
      </w:r>
      <w:r w:rsidR="007671F8">
        <w:rPr>
          <w:noProo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807580"/>
      <w:docPartObj>
        <w:docPartGallery w:val="Page Numbers (Top of Page)"/>
        <w:docPartUnique/>
      </w:docPartObj>
    </w:sdtPr>
    <w:sdtEndPr>
      <w:rPr>
        <w:noProof/>
      </w:rPr>
    </w:sdtEndPr>
    <w:sdtContent>
      <w:p w14:paraId="0993D624" w14:textId="7749D53E" w:rsidR="00B343BE" w:rsidRDefault="00B343BE" w:rsidP="006958E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0918EF" w14:textId="77777777" w:rsidR="00B343BE" w:rsidRDefault="00B343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6E"/>
    <w:rsid w:val="00001F64"/>
    <w:rsid w:val="00007340"/>
    <w:rsid w:val="00066E77"/>
    <w:rsid w:val="00083B9A"/>
    <w:rsid w:val="000C38D5"/>
    <w:rsid w:val="001729BB"/>
    <w:rsid w:val="0018436B"/>
    <w:rsid w:val="002544B9"/>
    <w:rsid w:val="00372985"/>
    <w:rsid w:val="00381B50"/>
    <w:rsid w:val="003977D5"/>
    <w:rsid w:val="0041488F"/>
    <w:rsid w:val="00437AC1"/>
    <w:rsid w:val="004A22EC"/>
    <w:rsid w:val="004A61BA"/>
    <w:rsid w:val="004B1102"/>
    <w:rsid w:val="004D29C1"/>
    <w:rsid w:val="004D6512"/>
    <w:rsid w:val="00555E10"/>
    <w:rsid w:val="00556DA4"/>
    <w:rsid w:val="00567D04"/>
    <w:rsid w:val="00593DA0"/>
    <w:rsid w:val="005D7931"/>
    <w:rsid w:val="005E4BC6"/>
    <w:rsid w:val="005F284B"/>
    <w:rsid w:val="005F6E31"/>
    <w:rsid w:val="006958E3"/>
    <w:rsid w:val="006A1BC0"/>
    <w:rsid w:val="006D1E6E"/>
    <w:rsid w:val="007671F8"/>
    <w:rsid w:val="008278D3"/>
    <w:rsid w:val="0086524F"/>
    <w:rsid w:val="00887466"/>
    <w:rsid w:val="008C06EF"/>
    <w:rsid w:val="00976260"/>
    <w:rsid w:val="00AF7B24"/>
    <w:rsid w:val="00B343BE"/>
    <w:rsid w:val="00B56EE5"/>
    <w:rsid w:val="00C828E3"/>
    <w:rsid w:val="00D779CB"/>
    <w:rsid w:val="00DD4199"/>
    <w:rsid w:val="00DE4A9F"/>
    <w:rsid w:val="00E74609"/>
    <w:rsid w:val="00F6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58045"/>
  <w15:chartTrackingRefBased/>
  <w15:docId w15:val="{55C23E37-FC47-40A8-BC18-DA08A0DD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6E"/>
    <w:pPr>
      <w:spacing w:after="0" w:line="240" w:lineRule="auto"/>
      <w:ind w:firstLine="720"/>
      <w:jc w:val="both"/>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1"/>
    <w:uiPriority w:val="99"/>
    <w:semiHidden/>
    <w:rsid w:val="006D1E6E"/>
    <w:rPr>
      <w:rFonts w:eastAsia="Calibri"/>
      <w:sz w:val="20"/>
      <w:szCs w:val="20"/>
    </w:rPr>
  </w:style>
  <w:style w:type="character" w:customStyle="1" w:styleId="CommentTextChar">
    <w:name w:val="Comment Text Char"/>
    <w:basedOn w:val="DefaultParagraphFont"/>
    <w:uiPriority w:val="99"/>
    <w:semiHidden/>
    <w:rsid w:val="006D1E6E"/>
    <w:rPr>
      <w:rFonts w:ascii="Times New Roman" w:eastAsia="Times New Roman" w:hAnsi="Times New Roman" w:cs="Times New Roman"/>
      <w:sz w:val="20"/>
      <w:szCs w:val="20"/>
      <w:lang w:val="lv-LV" w:eastAsia="lv-LV"/>
    </w:rPr>
  </w:style>
  <w:style w:type="character" w:customStyle="1" w:styleId="CommentTextChar1">
    <w:name w:val="Comment Text Char1"/>
    <w:basedOn w:val="DefaultParagraphFont"/>
    <w:link w:val="CommentText"/>
    <w:uiPriority w:val="99"/>
    <w:semiHidden/>
    <w:rsid w:val="006D1E6E"/>
    <w:rPr>
      <w:rFonts w:ascii="Times New Roman" w:eastAsia="Calibri" w:hAnsi="Times New Roman" w:cs="Times New Roman"/>
      <w:sz w:val="20"/>
      <w:szCs w:val="20"/>
      <w:lang w:val="lv-LV" w:eastAsia="lv-LV"/>
    </w:rPr>
  </w:style>
  <w:style w:type="character" w:styleId="CommentReference">
    <w:name w:val="annotation reference"/>
    <w:uiPriority w:val="99"/>
    <w:semiHidden/>
    <w:rsid w:val="006D1E6E"/>
    <w:rPr>
      <w:rFonts w:cs="Times New Roman"/>
      <w:sz w:val="16"/>
    </w:rPr>
  </w:style>
  <w:style w:type="paragraph" w:styleId="FootnoteText">
    <w:name w:val="footnote text"/>
    <w:basedOn w:val="Normal"/>
    <w:link w:val="FootnoteTextChar"/>
    <w:uiPriority w:val="99"/>
    <w:unhideWhenUsed/>
    <w:rsid w:val="006D1E6E"/>
    <w:rPr>
      <w:sz w:val="20"/>
      <w:szCs w:val="20"/>
    </w:rPr>
  </w:style>
  <w:style w:type="character" w:customStyle="1" w:styleId="FootnoteTextChar">
    <w:name w:val="Footnote Text Char"/>
    <w:basedOn w:val="DefaultParagraphFont"/>
    <w:link w:val="FootnoteText"/>
    <w:uiPriority w:val="99"/>
    <w:rsid w:val="006D1E6E"/>
    <w:rPr>
      <w:rFonts w:ascii="Times New Roman" w:eastAsia="Times New Roman" w:hAnsi="Times New Roman" w:cs="Times New Roman"/>
      <w:sz w:val="20"/>
      <w:szCs w:val="20"/>
      <w:lang w:val="lv-LV" w:eastAsia="lv-LV"/>
    </w:rPr>
  </w:style>
  <w:style w:type="character" w:styleId="FootnoteReference">
    <w:name w:val="footnote reference"/>
    <w:uiPriority w:val="99"/>
    <w:semiHidden/>
    <w:unhideWhenUsed/>
    <w:rsid w:val="006D1E6E"/>
    <w:rPr>
      <w:vertAlign w:val="superscript"/>
    </w:rPr>
  </w:style>
  <w:style w:type="character" w:customStyle="1" w:styleId="normaltextrun">
    <w:name w:val="normaltextrun"/>
    <w:basedOn w:val="DefaultParagraphFont"/>
    <w:rsid w:val="006D1E6E"/>
  </w:style>
  <w:style w:type="paragraph" w:styleId="ListParagraph">
    <w:name w:val="List Paragraph"/>
    <w:basedOn w:val="Normal"/>
    <w:uiPriority w:val="34"/>
    <w:qFormat/>
    <w:rsid w:val="00DD4199"/>
    <w:pPr>
      <w:ind w:left="720"/>
      <w:contextualSpacing/>
    </w:pPr>
  </w:style>
  <w:style w:type="paragraph" w:styleId="CommentSubject">
    <w:name w:val="annotation subject"/>
    <w:basedOn w:val="CommentText"/>
    <w:next w:val="CommentText"/>
    <w:link w:val="CommentSubjectChar"/>
    <w:uiPriority w:val="99"/>
    <w:semiHidden/>
    <w:unhideWhenUsed/>
    <w:rsid w:val="00DD4199"/>
    <w:rPr>
      <w:rFonts w:eastAsia="Times New Roman"/>
      <w:b/>
      <w:bCs/>
    </w:rPr>
  </w:style>
  <w:style w:type="character" w:customStyle="1" w:styleId="CommentSubjectChar">
    <w:name w:val="Comment Subject Char"/>
    <w:basedOn w:val="CommentTextChar1"/>
    <w:link w:val="CommentSubject"/>
    <w:uiPriority w:val="99"/>
    <w:semiHidden/>
    <w:rsid w:val="00DD4199"/>
    <w:rPr>
      <w:rFonts w:ascii="Times New Roman" w:eastAsia="Times New Roman" w:hAnsi="Times New Roman" w:cs="Times New Roman"/>
      <w:b/>
      <w:bCs/>
      <w:sz w:val="20"/>
      <w:szCs w:val="20"/>
      <w:lang w:val="lv-LV" w:eastAsia="lv-LV"/>
    </w:rPr>
  </w:style>
  <w:style w:type="paragraph" w:styleId="Header">
    <w:name w:val="header"/>
    <w:basedOn w:val="Normal"/>
    <w:link w:val="HeaderChar"/>
    <w:uiPriority w:val="99"/>
    <w:unhideWhenUsed/>
    <w:rsid w:val="00B343BE"/>
    <w:pPr>
      <w:tabs>
        <w:tab w:val="center" w:pos="4153"/>
        <w:tab w:val="right" w:pos="8306"/>
      </w:tabs>
    </w:pPr>
  </w:style>
  <w:style w:type="character" w:customStyle="1" w:styleId="HeaderChar">
    <w:name w:val="Header Char"/>
    <w:basedOn w:val="DefaultParagraphFont"/>
    <w:link w:val="Header"/>
    <w:uiPriority w:val="99"/>
    <w:rsid w:val="00B343BE"/>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43BE"/>
    <w:pPr>
      <w:tabs>
        <w:tab w:val="center" w:pos="4153"/>
        <w:tab w:val="right" w:pos="8306"/>
      </w:tabs>
    </w:pPr>
  </w:style>
  <w:style w:type="character" w:customStyle="1" w:styleId="FooterChar">
    <w:name w:val="Footer Char"/>
    <w:basedOn w:val="DefaultParagraphFont"/>
    <w:link w:val="Footer"/>
    <w:uiPriority w:val="99"/>
    <w:rsid w:val="00B343BE"/>
    <w:rPr>
      <w:rFonts w:ascii="Times New Roman" w:eastAsia="Times New Roman" w:hAnsi="Times New Roman" w:cs="Times New Roman"/>
      <w:sz w:val="24"/>
      <w:szCs w:val="24"/>
      <w:lang w:val="lv-LV" w:eastAsia="lv-LV"/>
    </w:rPr>
  </w:style>
  <w:style w:type="paragraph" w:styleId="Revision">
    <w:name w:val="Revision"/>
    <w:hidden/>
    <w:uiPriority w:val="99"/>
    <w:semiHidden/>
    <w:rsid w:val="005F284B"/>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3DFA1-3E42-4BE3-88C8-B4B26D21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3052</Words>
  <Characters>1740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Lenss</dc:creator>
  <cp:keywords/>
  <dc:description/>
  <cp:lastModifiedBy>Linda Egle</cp:lastModifiedBy>
  <cp:revision>3</cp:revision>
  <dcterms:created xsi:type="dcterms:W3CDTF">2022-07-05T04:10:00Z</dcterms:created>
  <dcterms:modified xsi:type="dcterms:W3CDTF">2022-07-05T08:37:00Z</dcterms:modified>
</cp:coreProperties>
</file>