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C24B" w14:textId="1D07C7E5" w:rsidR="006D1E6E" w:rsidRDefault="00CF3832" w:rsidP="006D1E6E">
      <w:pPr>
        <w:ind w:firstLine="0"/>
        <w:jc w:val="right"/>
      </w:pPr>
      <w:r>
        <w:t>6. p</w:t>
      </w:r>
      <w:r w:rsidR="006D1E6E">
        <w:t>ielikums</w:t>
      </w:r>
    </w:p>
    <w:p w14:paraId="3A917DAE" w14:textId="67DCA2CE" w:rsidR="006D1E6E" w:rsidRDefault="006D1E6E" w:rsidP="006D1E6E">
      <w:pPr>
        <w:ind w:firstLine="0"/>
        <w:jc w:val="right"/>
      </w:pPr>
      <w:r>
        <w:t xml:space="preserve">Finanšu un kapitāla tirgus komisijas </w:t>
      </w:r>
      <w:r w:rsidR="00434DB7">
        <w:t>05</w:t>
      </w:r>
      <w:r>
        <w:t>.</w:t>
      </w:r>
      <w:r w:rsidR="00434DB7">
        <w:t>07</w:t>
      </w:r>
      <w:r>
        <w:t>.</w:t>
      </w:r>
      <w:r w:rsidR="00434DB7">
        <w:t>2022</w:t>
      </w:r>
      <w:r>
        <w:t>.</w:t>
      </w:r>
    </w:p>
    <w:p w14:paraId="7A8F4C28" w14:textId="54CB1697" w:rsidR="006D1E6E" w:rsidRPr="00C1087C" w:rsidRDefault="00CF3832" w:rsidP="006D1E6E">
      <w:pPr>
        <w:ind w:firstLine="0"/>
        <w:jc w:val="right"/>
      </w:pPr>
      <w:r>
        <w:t>i</w:t>
      </w:r>
      <w:r w:rsidR="006D1E6E">
        <w:t xml:space="preserve">eteikumiem  Nr. </w:t>
      </w:r>
      <w:r w:rsidR="00434DB7">
        <w:t xml:space="preserve">120 </w:t>
      </w:r>
    </w:p>
    <w:p w14:paraId="401611AB" w14:textId="77777777" w:rsidR="00CF3832" w:rsidRDefault="00CF3832" w:rsidP="00721625">
      <w:pPr>
        <w:jc w:val="center"/>
        <w:rPr>
          <w:b/>
          <w:noProof/>
        </w:rPr>
      </w:pPr>
    </w:p>
    <w:p w14:paraId="41049847" w14:textId="7BF25596" w:rsidR="00721625" w:rsidRPr="00721625" w:rsidRDefault="00721625" w:rsidP="00721625">
      <w:pPr>
        <w:jc w:val="center"/>
        <w:rPr>
          <w:b/>
          <w:noProof/>
        </w:rPr>
      </w:pPr>
      <w:r w:rsidRPr="00721625">
        <w:rPr>
          <w:b/>
          <w:noProof/>
        </w:rPr>
        <w:t>Alternatīvo ieguldījumu fondu pārvaldniek</w:t>
      </w:r>
      <w:r w:rsidR="009D6539">
        <w:rPr>
          <w:b/>
          <w:noProof/>
        </w:rPr>
        <w:t>a</w:t>
      </w:r>
      <w:r w:rsidRPr="00721625">
        <w:rPr>
          <w:b/>
          <w:noProof/>
        </w:rPr>
        <w:t>m</w:t>
      </w:r>
    </w:p>
    <w:p w14:paraId="4BFED4B9" w14:textId="1ACA533B" w:rsidR="00437AC1" w:rsidRDefault="00721625" w:rsidP="00D95140">
      <w:pPr>
        <w:jc w:val="center"/>
      </w:pPr>
      <w:r w:rsidRPr="00721625">
        <w:rPr>
          <w:b/>
          <w:noProof/>
        </w:rPr>
        <w:t>piemērojamās sankcijas</w:t>
      </w:r>
    </w:p>
    <w:p w14:paraId="472F645C" w14:textId="002A001B" w:rsidR="006D1E6E" w:rsidRDefault="006D1E6E"/>
    <w:tbl>
      <w:tblPr>
        <w:tblW w:w="137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409"/>
        <w:gridCol w:w="2410"/>
        <w:gridCol w:w="2410"/>
        <w:gridCol w:w="2410"/>
        <w:gridCol w:w="2409"/>
      </w:tblGrid>
      <w:tr w:rsidR="00721625" w:rsidRPr="008527D7" w14:paraId="610A93F2" w14:textId="77777777" w:rsidTr="00686A91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5F194" w14:textId="6743F29F" w:rsidR="00721625" w:rsidRDefault="00CF3832" w:rsidP="00686A9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65C22">
              <w:rPr>
                <w:b/>
                <w:sz w:val="20"/>
                <w:szCs w:val="20"/>
              </w:rPr>
              <w:t>Atsauce uz normatīvajiem aktiem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01ACA9" w14:textId="77777777" w:rsidR="00721625" w:rsidRPr="003668CB" w:rsidRDefault="00721625" w:rsidP="00686A9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668CB">
              <w:rPr>
                <w:b/>
                <w:bCs/>
                <w:sz w:val="20"/>
                <w:szCs w:val="20"/>
              </w:rPr>
              <w:t>Pārkāpuma veids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B87079" w14:textId="2F27A291" w:rsidR="00721625" w:rsidRPr="00E66470" w:rsidRDefault="00686A91" w:rsidP="00686A91">
            <w:pPr>
              <w:ind w:firstLine="0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Formāls pārkāpums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5BFCBB8" w14:textId="77777777" w:rsidR="00721625" w:rsidRDefault="00721625" w:rsidP="00686A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2A6A">
              <w:rPr>
                <w:b/>
                <w:bCs/>
                <w:sz w:val="20"/>
                <w:szCs w:val="20"/>
              </w:rPr>
              <w:t>Viegls pārkāpums</w:t>
            </w:r>
          </w:p>
          <w:p w14:paraId="29F70BC4" w14:textId="7E8ACB32" w:rsidR="00721625" w:rsidRDefault="00721625" w:rsidP="00686A9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58B2158" w14:textId="08AA6EDB" w:rsidR="00721625" w:rsidRPr="00E66470" w:rsidRDefault="00721625" w:rsidP="00686A91">
            <w:pPr>
              <w:ind w:firstLine="0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E66470">
              <w:rPr>
                <w:b/>
                <w:bCs/>
                <w:sz w:val="20"/>
                <w:szCs w:val="20"/>
                <w:highlight w:val="red"/>
              </w:rPr>
              <w:t>Nopietns (smags) pārkāpum</w:t>
            </w:r>
            <w:r w:rsidR="00F35256">
              <w:rPr>
                <w:b/>
                <w:bCs/>
                <w:sz w:val="20"/>
                <w:szCs w:val="20"/>
                <w:highlight w:val="red"/>
              </w:rPr>
              <w:t>s</w:t>
            </w:r>
          </w:p>
          <w:p w14:paraId="458AD6DB" w14:textId="2DA22CA9" w:rsidR="00721625" w:rsidRPr="00E66470" w:rsidRDefault="00721625" w:rsidP="00686A91">
            <w:pPr>
              <w:ind w:hanging="19"/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A6157A3" w14:textId="77777777" w:rsidR="00721625" w:rsidRDefault="00721625" w:rsidP="00686A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2A6A">
              <w:rPr>
                <w:b/>
                <w:bCs/>
                <w:sz w:val="20"/>
                <w:szCs w:val="20"/>
              </w:rPr>
              <w:t>Kritisks pārkāpums</w:t>
            </w:r>
          </w:p>
          <w:p w14:paraId="036BFE61" w14:textId="41980DA9" w:rsidR="00721625" w:rsidRPr="008527D7" w:rsidRDefault="00721625" w:rsidP="00686A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5A1F9EDA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0261D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C310B6" w14:textId="5EE7BC19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DD4199">
              <w:rPr>
                <w:b/>
                <w:sz w:val="18"/>
                <w:szCs w:val="18"/>
              </w:rPr>
              <w:t>Termiņa (informācijas sniegšana u.c.) kavējums – pēc Komisijas pieprasījuma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64D86F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FC449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A9F391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F3B8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62772323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F634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AD6AC" w14:textId="77777777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DD4199">
              <w:rPr>
                <w:b/>
                <w:sz w:val="18"/>
                <w:szCs w:val="18"/>
              </w:rPr>
              <w:t>Termiņa (pārskatu sniegšana vai publicēšana) kavējums – normatīvajos aktos noteiktie termiņi pārskatu iesniegšanai/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4199">
              <w:rPr>
                <w:b/>
                <w:sz w:val="18"/>
                <w:szCs w:val="18"/>
              </w:rPr>
              <w:t>publicēšanai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A5DA7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3788FC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F2A08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1965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1F81527E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E1B1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DECF7" w14:textId="3FFEA838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DD4199">
              <w:rPr>
                <w:b/>
                <w:sz w:val="18"/>
                <w:szCs w:val="18"/>
              </w:rPr>
              <w:t>Termiņa kavējums – normatīvajos aktos noteikti</w:t>
            </w:r>
            <w:r w:rsidR="00803E68">
              <w:rPr>
                <w:b/>
                <w:sz w:val="18"/>
                <w:szCs w:val="18"/>
              </w:rPr>
              <w:t>e</w:t>
            </w:r>
            <w:r w:rsidRPr="00DD4199">
              <w:rPr>
                <w:b/>
                <w:sz w:val="18"/>
                <w:szCs w:val="18"/>
              </w:rPr>
              <w:t xml:space="preserve"> termiņi informācijas/ paziņojuma, dokumentu sniegšanai, neparedzot tālāku Komisijas saskaņojuma vai atļaujas sniegšanu (ciešas attiecības, ārpakalpojumi, pārstāvji)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5872E9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3D0A72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67AEC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A2D2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47F29291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EB306" w14:textId="356695A5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AF2BC" w14:textId="77777777" w:rsidR="009D6539" w:rsidRPr="006131CD" w:rsidRDefault="00721625" w:rsidP="00D9514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D6539">
              <w:rPr>
                <w:b/>
                <w:sz w:val="18"/>
                <w:szCs w:val="18"/>
              </w:rPr>
              <w:t xml:space="preserve">4. Amatpersonu </w:t>
            </w:r>
            <w:r w:rsidR="009D6539" w:rsidRPr="009D6539">
              <w:rPr>
                <w:rFonts w:eastAsiaTheme="minorHAnsi"/>
                <w:b/>
                <w:sz w:val="18"/>
                <w:szCs w:val="18"/>
                <w:lang w:eastAsia="en-US"/>
              </w:rPr>
              <w:t>atbilstības un piemērotības novērtēšana</w:t>
            </w:r>
          </w:p>
          <w:p w14:paraId="5E56B975" w14:textId="7B27F7BA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1593E6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7A298" w14:textId="604C37BA" w:rsidR="00721625" w:rsidRPr="006D1E6E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6D1E6E">
              <w:rPr>
                <w:sz w:val="28"/>
                <w:szCs w:val="28"/>
              </w:rPr>
              <w:t>X</w:t>
            </w:r>
            <w:r w:rsidR="001815EE">
              <w:rPr>
                <w:sz w:val="28"/>
                <w:szCs w:val="28"/>
              </w:rPr>
              <w:t xml:space="preserve"> </w:t>
            </w:r>
            <w:r w:rsidR="001815EE" w:rsidRPr="00AB7281">
              <w:rPr>
                <w:sz w:val="20"/>
                <w:szCs w:val="20"/>
              </w:rPr>
              <w:t>(izņemot reģistr</w:t>
            </w:r>
            <w:r w:rsidR="001815EE">
              <w:rPr>
                <w:sz w:val="20"/>
                <w:szCs w:val="20"/>
              </w:rPr>
              <w:t>ētos</w:t>
            </w:r>
            <w:r w:rsidR="001815EE" w:rsidRPr="00AB728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8551FF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786FE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5988A5E8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DABC7" w14:textId="3B87AD4A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3C8BD" w14:textId="77777777" w:rsidR="00721625" w:rsidRPr="00DD4199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DD4199">
              <w:rPr>
                <w:b/>
                <w:sz w:val="18"/>
                <w:szCs w:val="18"/>
              </w:rPr>
              <w:t>Būtiska līdzdalība</w:t>
            </w:r>
          </w:p>
          <w:p w14:paraId="0C98AD2A" w14:textId="77777777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37E811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CEBCC6" w14:textId="7205E151" w:rsidR="00721625" w:rsidRPr="006D1E6E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6D1E6E">
              <w:rPr>
                <w:sz w:val="28"/>
                <w:szCs w:val="28"/>
              </w:rPr>
              <w:t>X</w:t>
            </w:r>
            <w:r w:rsidR="001815EE">
              <w:rPr>
                <w:sz w:val="28"/>
                <w:szCs w:val="28"/>
              </w:rPr>
              <w:t xml:space="preserve"> </w:t>
            </w:r>
            <w:r w:rsidR="001815EE" w:rsidRPr="00AB7281">
              <w:rPr>
                <w:sz w:val="20"/>
                <w:szCs w:val="20"/>
              </w:rPr>
              <w:t>(izņemot reģistr</w:t>
            </w:r>
            <w:r w:rsidR="001815EE">
              <w:rPr>
                <w:sz w:val="20"/>
                <w:szCs w:val="20"/>
              </w:rPr>
              <w:t>ētos</w:t>
            </w:r>
            <w:r w:rsidR="001815EE" w:rsidRPr="00AB7281">
              <w:rPr>
                <w:sz w:val="20"/>
                <w:szCs w:val="20"/>
              </w:rPr>
              <w:t>)</w:t>
            </w:r>
          </w:p>
          <w:p w14:paraId="5D2CE7A5" w14:textId="77777777" w:rsidR="00721625" w:rsidRDefault="00721625" w:rsidP="00FF4F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BF9E8D" w14:textId="77777777" w:rsidR="00721625" w:rsidRPr="00DD4199" w:rsidRDefault="00721625" w:rsidP="00FF4F2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4199">
              <w:rPr>
                <w:b/>
                <w:bCs/>
                <w:sz w:val="18"/>
                <w:szCs w:val="18"/>
              </w:rPr>
              <w:t>Kritēriji:</w:t>
            </w:r>
          </w:p>
          <w:p w14:paraId="3832597F" w14:textId="77777777" w:rsidR="00721625" w:rsidRPr="00DD4199" w:rsidRDefault="00721625" w:rsidP="00FF4F29">
            <w:pPr>
              <w:ind w:firstLine="0"/>
              <w:jc w:val="center"/>
              <w:rPr>
                <w:sz w:val="18"/>
                <w:szCs w:val="18"/>
              </w:rPr>
            </w:pPr>
            <w:r w:rsidRPr="00DD4199">
              <w:rPr>
                <w:sz w:val="18"/>
                <w:szCs w:val="18"/>
              </w:rPr>
              <w:t>Tieša līdzdalība līdz 33%</w:t>
            </w:r>
          </w:p>
          <w:p w14:paraId="7EA0218B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D4199">
              <w:rPr>
                <w:sz w:val="18"/>
                <w:szCs w:val="18"/>
              </w:rPr>
              <w:t>Netieša līdzdalība līdz 50%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33CB7A" w14:textId="698145B0" w:rsidR="00721625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1815EE">
              <w:rPr>
                <w:sz w:val="28"/>
                <w:szCs w:val="28"/>
              </w:rPr>
              <w:t xml:space="preserve"> </w:t>
            </w:r>
            <w:r w:rsidR="001815EE" w:rsidRPr="00AB7281">
              <w:rPr>
                <w:sz w:val="20"/>
                <w:szCs w:val="20"/>
              </w:rPr>
              <w:t>(izņemot reģistr</w:t>
            </w:r>
            <w:r w:rsidR="001815EE">
              <w:rPr>
                <w:sz w:val="20"/>
                <w:szCs w:val="20"/>
              </w:rPr>
              <w:t>ētos</w:t>
            </w:r>
            <w:r w:rsidR="001815EE" w:rsidRPr="00AB7281">
              <w:rPr>
                <w:sz w:val="20"/>
                <w:szCs w:val="20"/>
              </w:rPr>
              <w:t>)</w:t>
            </w:r>
          </w:p>
          <w:p w14:paraId="3E11FC6F" w14:textId="77777777" w:rsidR="00721625" w:rsidRPr="006D1E6E" w:rsidRDefault="00721625" w:rsidP="00FF4F29">
            <w:pPr>
              <w:ind w:hanging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0E047E" w14:textId="77777777" w:rsidR="00721625" w:rsidRPr="00DD4199" w:rsidRDefault="00721625" w:rsidP="00FF4F2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4199">
              <w:rPr>
                <w:b/>
                <w:bCs/>
                <w:sz w:val="18"/>
                <w:szCs w:val="18"/>
              </w:rPr>
              <w:t>Kritēriji:</w:t>
            </w:r>
          </w:p>
          <w:p w14:paraId="5BCF2B44" w14:textId="77777777" w:rsidR="00721625" w:rsidRPr="00DD4199" w:rsidRDefault="00721625" w:rsidP="00FF4F29">
            <w:pPr>
              <w:ind w:firstLine="0"/>
              <w:jc w:val="center"/>
              <w:rPr>
                <w:sz w:val="18"/>
                <w:szCs w:val="18"/>
              </w:rPr>
            </w:pPr>
            <w:r w:rsidRPr="00DD4199">
              <w:rPr>
                <w:sz w:val="18"/>
                <w:szCs w:val="18"/>
              </w:rPr>
              <w:t>Tieša līdzdalība virs 33%</w:t>
            </w:r>
          </w:p>
          <w:p w14:paraId="35BBB335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  <w:r w:rsidRPr="00DD4199">
              <w:rPr>
                <w:sz w:val="18"/>
                <w:szCs w:val="18"/>
              </w:rPr>
              <w:t>Netieša līdzdalība virs 50%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6DA7B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438F2F2F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8D9F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B2EC85" w14:textId="475782F2" w:rsidR="00721625" w:rsidRPr="00DD4199" w:rsidRDefault="00721625" w:rsidP="00D95140">
            <w:pPr>
              <w:tabs>
                <w:tab w:val="left" w:pos="217"/>
              </w:tabs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803E68">
              <w:rPr>
                <w:b/>
                <w:sz w:val="18"/>
                <w:szCs w:val="18"/>
              </w:rPr>
              <w:t xml:space="preserve"> </w:t>
            </w:r>
            <w:r w:rsidRPr="00DD4199">
              <w:rPr>
                <w:b/>
                <w:sz w:val="18"/>
                <w:szCs w:val="18"/>
              </w:rPr>
              <w:t>Ārpakalpojums vai pārstāvji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288966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BFB26" w14:textId="0D841821" w:rsidR="00721625" w:rsidRPr="006D1E6E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1815EE">
              <w:rPr>
                <w:sz w:val="28"/>
                <w:szCs w:val="28"/>
              </w:rPr>
              <w:t xml:space="preserve"> </w:t>
            </w:r>
            <w:r w:rsidR="001815EE" w:rsidRPr="00AB7281">
              <w:rPr>
                <w:sz w:val="20"/>
                <w:szCs w:val="20"/>
              </w:rPr>
              <w:t>(izņemot reģistr</w:t>
            </w:r>
            <w:r w:rsidR="001815EE">
              <w:rPr>
                <w:sz w:val="20"/>
                <w:szCs w:val="20"/>
              </w:rPr>
              <w:t>ētos</w:t>
            </w:r>
            <w:r w:rsidR="001815EE" w:rsidRPr="00AB728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4ECCA1" w14:textId="77777777" w:rsidR="00721625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CFE94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51F96832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1F97C" w14:textId="77777777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CFAF7" w14:textId="034758CE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r w:rsidRPr="00DD4199">
              <w:rPr>
                <w:b/>
                <w:sz w:val="18"/>
                <w:szCs w:val="18"/>
              </w:rPr>
              <w:t>Kapitāla prasību neizpilde (nepietiek</w:t>
            </w:r>
            <w:r w:rsidR="00803E68">
              <w:rPr>
                <w:b/>
                <w:sz w:val="18"/>
                <w:szCs w:val="18"/>
              </w:rPr>
              <w:t>ami</w:t>
            </w:r>
            <w:r w:rsidRPr="00DD4199">
              <w:rPr>
                <w:b/>
                <w:sz w:val="18"/>
                <w:szCs w:val="18"/>
              </w:rPr>
              <w:t xml:space="preserve"> </w:t>
            </w:r>
            <w:r w:rsidR="00803E68">
              <w:rPr>
                <w:b/>
                <w:sz w:val="18"/>
                <w:szCs w:val="18"/>
              </w:rPr>
              <w:t>līdzekļi</w:t>
            </w:r>
            <w:r w:rsidRPr="00DD4199">
              <w:rPr>
                <w:b/>
                <w:sz w:val="18"/>
                <w:szCs w:val="18"/>
              </w:rPr>
              <w:t>), kapitāla rādītāji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4A54F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6776D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0857C" w14:textId="77777777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DCDAC" w14:textId="1C4BAF2F" w:rsidR="00721625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1815EE">
              <w:rPr>
                <w:sz w:val="28"/>
                <w:szCs w:val="28"/>
              </w:rPr>
              <w:t xml:space="preserve"> </w:t>
            </w:r>
            <w:r w:rsidR="001815EE" w:rsidRPr="00AB7281">
              <w:rPr>
                <w:sz w:val="20"/>
                <w:szCs w:val="20"/>
              </w:rPr>
              <w:t>(izņemot reģistr</w:t>
            </w:r>
            <w:r w:rsidR="001815EE">
              <w:rPr>
                <w:sz w:val="20"/>
                <w:szCs w:val="20"/>
              </w:rPr>
              <w:t>ētos</w:t>
            </w:r>
            <w:r w:rsidR="001815EE" w:rsidRPr="00AB7281">
              <w:rPr>
                <w:sz w:val="20"/>
                <w:szCs w:val="20"/>
              </w:rPr>
              <w:t>)</w:t>
            </w:r>
          </w:p>
          <w:p w14:paraId="3348216B" w14:textId="77777777" w:rsidR="00721625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7136C8DB" w14:textId="77777777" w:rsidR="00721625" w:rsidRPr="00DD4199" w:rsidRDefault="00721625" w:rsidP="00FF4F2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D4199">
              <w:rPr>
                <w:b/>
                <w:bCs/>
                <w:sz w:val="18"/>
                <w:szCs w:val="18"/>
              </w:rPr>
              <w:t>Kritēriji:</w:t>
            </w:r>
          </w:p>
          <w:p w14:paraId="5DC4623B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3977D5">
              <w:rPr>
                <w:sz w:val="18"/>
                <w:szCs w:val="18"/>
              </w:rPr>
              <w:t>Nav izpildītas kapitāla prasības un netiek iesniegts vai pildīts plāns</w:t>
            </w:r>
          </w:p>
        </w:tc>
      </w:tr>
      <w:tr w:rsidR="00721625" w:rsidRPr="008527D7" w14:paraId="4483D4A2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9FA4D" w14:textId="056D0BBC" w:rsidR="00721625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544360" w14:textId="632696F9" w:rsidR="00721625" w:rsidRPr="00DD4199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8. </w:t>
            </w:r>
            <w:r w:rsidRPr="00DD4199">
              <w:rPr>
                <w:rFonts w:eastAsia="Calibri"/>
                <w:b/>
                <w:sz w:val="18"/>
                <w:szCs w:val="18"/>
              </w:rPr>
              <w:t xml:space="preserve">Kapitāla prasība </w:t>
            </w:r>
            <w:r w:rsidR="00803E68">
              <w:rPr>
                <w:rFonts w:eastAsia="Calibri"/>
                <w:b/>
                <w:sz w:val="18"/>
                <w:szCs w:val="18"/>
              </w:rPr>
              <w:t>–</w:t>
            </w:r>
            <w:r w:rsidRPr="00DD4199">
              <w:rPr>
                <w:rFonts w:eastAsia="Calibri"/>
                <w:b/>
                <w:sz w:val="18"/>
                <w:szCs w:val="18"/>
              </w:rPr>
              <w:t xml:space="preserve"> pārējie ar kapitāla prasību saistīti</w:t>
            </w:r>
            <w:r w:rsidR="009D6539">
              <w:rPr>
                <w:rFonts w:eastAsia="Calibri"/>
                <w:b/>
                <w:sz w:val="18"/>
                <w:szCs w:val="18"/>
              </w:rPr>
              <w:t>e</w:t>
            </w:r>
            <w:r w:rsidRPr="00DD4199">
              <w:rPr>
                <w:rFonts w:eastAsia="Calibri"/>
                <w:b/>
                <w:sz w:val="18"/>
                <w:szCs w:val="18"/>
              </w:rPr>
              <w:t xml:space="preserve"> pārkāpumi (visi pārējie panti), kapitāla rezervju prasības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986D4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A63B65" w14:textId="77777777" w:rsidR="00721625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7D5D" w14:textId="0CCA4A3A" w:rsidR="00721625" w:rsidRPr="008527D7" w:rsidRDefault="00721625" w:rsidP="00FF4F29">
            <w:pPr>
              <w:ind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1815EE">
              <w:rPr>
                <w:sz w:val="28"/>
                <w:szCs w:val="28"/>
              </w:rPr>
              <w:t xml:space="preserve"> </w:t>
            </w:r>
            <w:r w:rsidR="001815EE" w:rsidRPr="00AB7281">
              <w:rPr>
                <w:sz w:val="20"/>
                <w:szCs w:val="20"/>
              </w:rPr>
              <w:t>(izņemot reģistr</w:t>
            </w:r>
            <w:r w:rsidR="001815EE">
              <w:rPr>
                <w:sz w:val="20"/>
                <w:szCs w:val="20"/>
              </w:rPr>
              <w:t>ētos</w:t>
            </w:r>
            <w:r w:rsidR="001815EE" w:rsidRPr="00AB7281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334D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815EE" w:rsidRPr="008527D7" w14:paraId="0DA5BBEA" w14:textId="77777777" w:rsidTr="00FF4F29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88AA" w14:textId="3B01FACE" w:rsidR="001815EE" w:rsidRDefault="001815EE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F9A8E" w14:textId="5A7ABAE1" w:rsidR="001815EE" w:rsidRDefault="001815EE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</w:t>
            </w:r>
            <w:r w:rsidRPr="00C828E3">
              <w:rPr>
                <w:b/>
                <w:sz w:val="18"/>
                <w:szCs w:val="18"/>
              </w:rPr>
              <w:t>Pārējās "</w:t>
            </w:r>
            <w:proofErr w:type="spellStart"/>
            <w:r w:rsidRPr="000C6D8E">
              <w:rPr>
                <w:b/>
                <w:i/>
                <w:iCs/>
                <w:sz w:val="18"/>
                <w:szCs w:val="18"/>
              </w:rPr>
              <w:t>Governance</w:t>
            </w:r>
            <w:proofErr w:type="spellEnd"/>
            <w:r w:rsidRPr="00C828E3">
              <w:rPr>
                <w:b/>
                <w:sz w:val="18"/>
                <w:szCs w:val="18"/>
              </w:rPr>
              <w:t xml:space="preserve">" un </w:t>
            </w:r>
            <w:r w:rsidR="00803E68">
              <w:rPr>
                <w:b/>
                <w:sz w:val="18"/>
                <w:szCs w:val="18"/>
              </w:rPr>
              <w:t>r</w:t>
            </w:r>
            <w:r w:rsidRPr="00C828E3">
              <w:rPr>
                <w:b/>
                <w:sz w:val="18"/>
                <w:szCs w:val="18"/>
              </w:rPr>
              <w:t>isku pārvaldības nepilnības (trūkumi)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C9074A" w14:textId="77777777" w:rsidR="001815EE" w:rsidRPr="008527D7" w:rsidRDefault="001815EE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96339" w14:textId="3A8DFF81" w:rsidR="001815EE" w:rsidRPr="00C828E3" w:rsidRDefault="001815EE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C828E3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AB7281">
              <w:rPr>
                <w:sz w:val="20"/>
                <w:szCs w:val="20"/>
              </w:rPr>
              <w:t>(izņemot reģistr</w:t>
            </w:r>
            <w:r>
              <w:rPr>
                <w:sz w:val="20"/>
                <w:szCs w:val="20"/>
              </w:rPr>
              <w:t>ētos</w:t>
            </w:r>
            <w:r w:rsidRPr="00AB728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D0442B" w14:textId="77777777" w:rsidR="001815EE" w:rsidRDefault="001815EE" w:rsidP="00FF4F29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03E2" w14:textId="77777777" w:rsidR="001815EE" w:rsidRDefault="001815EE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7A3AD452" w14:textId="77777777" w:rsidTr="00721625">
        <w:trPr>
          <w:trHeight w:val="126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A9A68" w14:textId="6562FDFB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</w:t>
            </w:r>
            <w:r w:rsidRPr="00D95140">
              <w:rPr>
                <w:rStyle w:val="FootnoteReference"/>
                <w:b/>
                <w:sz w:val="18"/>
                <w:szCs w:val="18"/>
              </w:rPr>
              <w:footnoteReference w:id="1"/>
            </w:r>
            <w:r w:rsidRPr="00D95140">
              <w:rPr>
                <w:b/>
                <w:sz w:val="18"/>
                <w:szCs w:val="18"/>
              </w:rPr>
              <w:t xml:space="preserve"> 22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</w:t>
            </w:r>
          </w:p>
          <w:p w14:paraId="76626C68" w14:textId="65DBB4BD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23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(1) (3)</w:t>
            </w:r>
          </w:p>
          <w:p w14:paraId="38E5CFE3" w14:textId="687249A3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27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(5) </w:t>
            </w:r>
          </w:p>
          <w:p w14:paraId="636505EA" w14:textId="5498B0BE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28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(5) (15) </w:t>
            </w:r>
          </w:p>
          <w:p w14:paraId="35A0C2AB" w14:textId="6BC9BF3D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29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7358D9BB" w14:textId="2022A73B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34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32A5E34E" w14:textId="1C59B0A5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39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(9)</w:t>
            </w:r>
          </w:p>
          <w:p w14:paraId="210DF14B" w14:textId="0A1BFED3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lastRenderedPageBreak/>
              <w:t>AIFPL 43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(7) (9)</w:t>
            </w:r>
          </w:p>
          <w:p w14:paraId="2EEE8870" w14:textId="37AC3486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44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0FF50163" w14:textId="7B2EB80E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47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(4)</w:t>
            </w:r>
          </w:p>
          <w:p w14:paraId="4542FE7E" w14:textId="14B1A5B6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56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(12)</w:t>
            </w:r>
          </w:p>
          <w:p w14:paraId="362A0536" w14:textId="11763203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57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(8) (9)</w:t>
            </w:r>
          </w:p>
          <w:p w14:paraId="0516AF81" w14:textId="21B6632C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58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525794E5" w14:textId="7F074947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60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  <w:vertAlign w:val="superscript"/>
              </w:rPr>
              <w:t>1</w:t>
            </w:r>
            <w:r w:rsidRPr="00D95140">
              <w:rPr>
                <w:b/>
                <w:sz w:val="18"/>
                <w:szCs w:val="18"/>
              </w:rPr>
              <w:t xml:space="preserve">  (4) (5) (6) (7)</w:t>
            </w:r>
          </w:p>
          <w:p w14:paraId="04F7F567" w14:textId="00501C30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63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(6)</w:t>
            </w:r>
          </w:p>
          <w:p w14:paraId="378E2C96" w14:textId="26521B17" w:rsidR="00721625" w:rsidRPr="00D95140" w:rsidRDefault="00721625" w:rsidP="00FF4F29">
            <w:pPr>
              <w:ind w:firstLine="0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64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(3) 2)</w:t>
            </w:r>
          </w:p>
          <w:p w14:paraId="64514ADC" w14:textId="5618CBED" w:rsidR="00721625" w:rsidRPr="00D95140" w:rsidRDefault="00721625" w:rsidP="00FF4F29">
            <w:pPr>
              <w:ind w:firstLine="0"/>
              <w:rPr>
                <w:b/>
                <w:noProof/>
                <w:sz w:val="16"/>
                <w:szCs w:val="16"/>
              </w:rPr>
            </w:pPr>
            <w:r w:rsidRPr="00D95140">
              <w:rPr>
                <w:b/>
                <w:sz w:val="18"/>
                <w:szCs w:val="18"/>
              </w:rPr>
              <w:t>AIFPL 74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(5)</w:t>
            </w:r>
          </w:p>
          <w:p w14:paraId="1DB1C7FE" w14:textId="7777777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2E98" w14:textId="78F99798" w:rsidR="00721625" w:rsidRPr="003668CB" w:rsidRDefault="001815EE" w:rsidP="00FF4F2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10. </w:t>
            </w:r>
            <w:r w:rsidR="00721625" w:rsidRPr="003668CB">
              <w:rPr>
                <w:b/>
                <w:sz w:val="20"/>
                <w:szCs w:val="20"/>
              </w:rPr>
              <w:t>Pārkāpumi, kas saistīti ar fonda ieguldītāju interešu neievērošanu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D25676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BAD29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7D3EAB86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8472545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0C6DAFFF" w14:textId="12598169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21625">
              <w:rPr>
                <w:sz w:val="20"/>
                <w:szCs w:val="20"/>
              </w:rPr>
              <w:t>K1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57AA3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583EB779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9118B40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3117FE7A" w14:textId="6D4459E3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 un K2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5B47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56DC54CF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DAE74DF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08C674FE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 un K2 +</w:t>
            </w:r>
          </w:p>
          <w:p w14:paraId="4082EFEB" w14:textId="0FCBCBE0" w:rsidR="00721625" w:rsidRPr="00721625" w:rsidRDefault="00DC4B6F" w:rsidP="007216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721625" w:rsidRPr="00721625">
              <w:rPr>
                <w:rFonts w:cstheme="minorHAnsi"/>
                <w:sz w:val="20"/>
                <w:szCs w:val="20"/>
              </w:rPr>
              <w:t>lgstošs pārkāpums tajā pašā jomā</w:t>
            </w:r>
          </w:p>
        </w:tc>
      </w:tr>
      <w:tr w:rsidR="00721625" w:rsidRPr="008527D7" w14:paraId="27A30D8E" w14:textId="77777777" w:rsidTr="00721625">
        <w:trPr>
          <w:trHeight w:val="69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058B5" w14:textId="5DA90975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5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>, arī IX un XI nodaļa</w:t>
            </w:r>
          </w:p>
          <w:p w14:paraId="4887E89A" w14:textId="076FD47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(6) (7)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20F33569" w14:textId="2C5E68AE" w:rsidR="00721625" w:rsidRPr="003668CB" w:rsidRDefault="001815EE" w:rsidP="00FF4F2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="00721625" w:rsidRPr="003668CB">
              <w:rPr>
                <w:b/>
                <w:bCs/>
                <w:sz w:val="20"/>
                <w:szCs w:val="20"/>
              </w:rPr>
              <w:t>Pārkāpumi, kas saistīti ar alternatīvo ieguldījumu fondu pārvaldi bez licences saņemšanas vai reģistrācijas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D257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1B3D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BF83" w14:textId="77777777" w:rsidR="00721625" w:rsidRPr="00976260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2E1F4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C828E3">
              <w:rPr>
                <w:sz w:val="28"/>
                <w:szCs w:val="28"/>
              </w:rPr>
              <w:t>X</w:t>
            </w:r>
          </w:p>
        </w:tc>
      </w:tr>
      <w:tr w:rsidR="00721625" w:rsidRPr="008527D7" w14:paraId="41A99A42" w14:textId="77777777" w:rsidTr="00721625">
        <w:trPr>
          <w:trHeight w:val="169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D81A" w14:textId="3E6C7424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30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(4) </w:t>
            </w:r>
          </w:p>
          <w:p w14:paraId="39AE3D48" w14:textId="79543E79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39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(9) </w:t>
            </w:r>
          </w:p>
          <w:p w14:paraId="6C71B2D8" w14:textId="175EEA6A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40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(8) </w:t>
            </w:r>
          </w:p>
          <w:p w14:paraId="60E6F171" w14:textId="12E0538C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 xml:space="preserve">AIFPL V nodaļa </w:t>
            </w:r>
          </w:p>
          <w:p w14:paraId="16C96853" w14:textId="094DF469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43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</w:t>
            </w:r>
          </w:p>
          <w:p w14:paraId="47B3FDB0" w14:textId="2E59C251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44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5F1811FE" w14:textId="2D15463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45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39771AEF" w14:textId="56608A12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46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(1) (2) (11)</w:t>
            </w:r>
          </w:p>
          <w:p w14:paraId="29511E9D" w14:textId="7506556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48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(1)2)</w:t>
            </w:r>
          </w:p>
          <w:p w14:paraId="28103412" w14:textId="4F81CB04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58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(2) 11) 14) (4)</w:t>
            </w:r>
          </w:p>
          <w:p w14:paraId="10AA5183" w14:textId="772C2475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65</w:t>
            </w:r>
            <w:r w:rsidR="00CF3832">
              <w:rPr>
                <w:b/>
                <w:sz w:val="18"/>
                <w:szCs w:val="18"/>
              </w:rPr>
              <w:t xml:space="preserve">. </w:t>
            </w:r>
            <w:r w:rsidRPr="00D95140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105C031" w14:textId="602CDBCD" w:rsidR="00721625" w:rsidRPr="003668CB" w:rsidRDefault="001815EE" w:rsidP="00FF4F29">
            <w:pPr>
              <w:ind w:firstLine="0"/>
              <w:jc w:val="left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12. </w:t>
            </w:r>
            <w:r w:rsidR="00721625" w:rsidRPr="003668CB">
              <w:rPr>
                <w:b/>
                <w:bCs/>
                <w:noProof/>
                <w:sz w:val="20"/>
                <w:szCs w:val="20"/>
              </w:rPr>
              <w:t>Pārkāpumi, kas saistīti ar noteikto ieguldījumu daļu emisijas, atpakaļpirkšanas un atpakaļpieņemšanas regulējošo prasību neievērošanu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4AAFB16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6F2208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787958BB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24DF73E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6412E25C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</w:t>
            </w:r>
          </w:p>
          <w:p w14:paraId="4382BF49" w14:textId="77777777" w:rsidR="00721625" w:rsidRPr="00721625" w:rsidRDefault="00721625" w:rsidP="007216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F12186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029FC888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6DCBB62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1D0D7E5D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 un K2</w:t>
            </w:r>
          </w:p>
          <w:p w14:paraId="29B58583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33CFB042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227DD7CE" w14:textId="77777777" w:rsidTr="00721625">
        <w:trPr>
          <w:trHeight w:val="10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BE5B" w14:textId="324E87D9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41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(6) (7) (8) (9) (10) (11)</w:t>
            </w:r>
          </w:p>
          <w:p w14:paraId="7F865D81" w14:textId="2E72EE08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66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60BE23C2" w14:textId="67C40221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67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</w:t>
            </w:r>
          </w:p>
          <w:p w14:paraId="796EBA17" w14:textId="6B8CCEA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68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27E604C9" w14:textId="7860A2D6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69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3E525362" w14:textId="41564600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72</w:t>
            </w:r>
            <w:r w:rsidR="00CF3832">
              <w:rPr>
                <w:b/>
                <w:sz w:val="18"/>
                <w:szCs w:val="18"/>
              </w:rPr>
              <w:t>.</w:t>
            </w:r>
            <w:r w:rsidRPr="00D95140">
              <w:rPr>
                <w:b/>
                <w:sz w:val="18"/>
                <w:szCs w:val="18"/>
              </w:rPr>
              <w:t xml:space="preserve"> (izņemot </w:t>
            </w:r>
            <w:r w:rsidR="00CF3832">
              <w:rPr>
                <w:b/>
                <w:sz w:val="18"/>
                <w:szCs w:val="18"/>
              </w:rPr>
              <w:t>(</w:t>
            </w:r>
            <w:r w:rsidRPr="00D95140">
              <w:rPr>
                <w:b/>
                <w:sz w:val="18"/>
                <w:szCs w:val="18"/>
              </w:rPr>
              <w:t>12</w:t>
            </w:r>
            <w:r w:rsidR="00CF3832">
              <w:rPr>
                <w:b/>
                <w:sz w:val="18"/>
                <w:szCs w:val="18"/>
              </w:rPr>
              <w:t>)</w:t>
            </w:r>
            <w:r w:rsidRPr="00D95140">
              <w:rPr>
                <w:b/>
                <w:sz w:val="18"/>
                <w:szCs w:val="18"/>
              </w:rPr>
              <w:t>)</w:t>
            </w:r>
          </w:p>
          <w:p w14:paraId="7755B190" w14:textId="0476A5D8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73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2D89CEC9" w14:textId="234998D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78</w:t>
            </w:r>
            <w:r w:rsidR="00CF3832">
              <w:rPr>
                <w:b/>
                <w:sz w:val="18"/>
                <w:szCs w:val="18"/>
              </w:rPr>
              <w:t>.</w:t>
            </w:r>
          </w:p>
          <w:p w14:paraId="1ACEB709" w14:textId="43368B19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AIFPL 79</w:t>
            </w:r>
            <w:r w:rsidR="00CF38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088B9" w14:textId="25C836E8" w:rsidR="00721625" w:rsidRPr="003668CB" w:rsidRDefault="001815EE" w:rsidP="00FF4F2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="00721625" w:rsidRPr="003668CB">
              <w:rPr>
                <w:b/>
                <w:bCs/>
                <w:sz w:val="20"/>
                <w:szCs w:val="20"/>
              </w:rPr>
              <w:t xml:space="preserve">Pārkāpumi, kas saistīti ar fondu ieguldījumu daļu izplatīšanu bez Komisijas atļaujas vai ar ieguldījumu daļu izplatīšanas noteikumu pārkāpumiem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799DA61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856B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661A2CF7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53BEA6E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369D4A9D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</w:t>
            </w:r>
          </w:p>
          <w:p w14:paraId="4B443BE8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0914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0957F6EC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EA8671F" w14:textId="77777777" w:rsidR="00721625" w:rsidRPr="00721625" w:rsidRDefault="00721625" w:rsidP="0072162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6D88CA41" w14:textId="77777777" w:rsidR="00721625" w:rsidRPr="00721625" w:rsidRDefault="00721625" w:rsidP="00721625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 un K2</w:t>
            </w:r>
          </w:p>
          <w:p w14:paraId="33C41015" w14:textId="77777777" w:rsidR="00721625" w:rsidRPr="00721625" w:rsidRDefault="00721625" w:rsidP="0072162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1D6" w14:textId="77777777" w:rsidR="00721625" w:rsidRPr="00976260" w:rsidRDefault="00721625" w:rsidP="00FF4F2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21625" w:rsidRPr="008527D7" w14:paraId="7762EDA2" w14:textId="77777777" w:rsidTr="00721625">
        <w:trPr>
          <w:trHeight w:val="72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1FE" w14:textId="4F5E3464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lastRenderedPageBreak/>
              <w:t>Regulas Nr.</w:t>
            </w:r>
            <w:r w:rsidR="009D6539">
              <w:rPr>
                <w:b/>
                <w:sz w:val="18"/>
                <w:szCs w:val="18"/>
              </w:rPr>
              <w:t> </w:t>
            </w:r>
            <w:r w:rsidRPr="00D95140">
              <w:rPr>
                <w:b/>
                <w:sz w:val="18"/>
                <w:szCs w:val="18"/>
              </w:rPr>
              <w:t>345/2013</w:t>
            </w:r>
            <w:r w:rsidR="00803E68" w:rsidRPr="00D95140">
              <w:rPr>
                <w:rStyle w:val="FootnoteReference"/>
                <w:b/>
                <w:sz w:val="18"/>
                <w:szCs w:val="18"/>
              </w:rPr>
              <w:footnoteReference w:id="4"/>
            </w:r>
            <w:r w:rsidRPr="00D95140">
              <w:rPr>
                <w:b/>
                <w:sz w:val="18"/>
                <w:szCs w:val="18"/>
              </w:rPr>
              <w:t xml:space="preserve"> 21.</w:t>
            </w:r>
            <w:r w:rsidR="009D6539">
              <w:rPr>
                <w:b/>
                <w:sz w:val="18"/>
                <w:szCs w:val="18"/>
              </w:rPr>
              <w:t> </w:t>
            </w:r>
            <w:r w:rsidRPr="00D95140">
              <w:rPr>
                <w:b/>
                <w:sz w:val="18"/>
                <w:szCs w:val="18"/>
              </w:rPr>
              <w:t>pants</w:t>
            </w:r>
          </w:p>
          <w:p w14:paraId="5A3B040A" w14:textId="422054D5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sz w:val="18"/>
                <w:szCs w:val="18"/>
              </w:rPr>
              <w:t>Regulas Nr.</w:t>
            </w:r>
            <w:r w:rsidR="009D6539">
              <w:rPr>
                <w:b/>
                <w:sz w:val="18"/>
                <w:szCs w:val="18"/>
              </w:rPr>
              <w:t> </w:t>
            </w:r>
            <w:r w:rsidRPr="00D95140">
              <w:rPr>
                <w:b/>
                <w:sz w:val="18"/>
                <w:szCs w:val="18"/>
              </w:rPr>
              <w:t>346/2013</w:t>
            </w:r>
            <w:r w:rsidR="00803E68" w:rsidRPr="00D95140">
              <w:rPr>
                <w:rStyle w:val="FootnoteReference"/>
                <w:b/>
                <w:sz w:val="18"/>
                <w:szCs w:val="18"/>
              </w:rPr>
              <w:footnoteReference w:id="5"/>
            </w:r>
            <w:r w:rsidRPr="00D95140">
              <w:rPr>
                <w:b/>
                <w:sz w:val="18"/>
                <w:szCs w:val="18"/>
              </w:rPr>
              <w:t xml:space="preserve"> 22.</w:t>
            </w:r>
            <w:r w:rsidR="009D6539">
              <w:rPr>
                <w:b/>
                <w:sz w:val="18"/>
                <w:szCs w:val="18"/>
              </w:rPr>
              <w:t> </w:t>
            </w:r>
            <w:r w:rsidRPr="00D95140">
              <w:rPr>
                <w:b/>
                <w:sz w:val="18"/>
                <w:szCs w:val="18"/>
              </w:rPr>
              <w:t>pants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A83" w14:textId="6D634A44" w:rsidR="00721625" w:rsidRPr="003668CB" w:rsidRDefault="001815EE" w:rsidP="00FF4F2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  <w:r w:rsidR="00721625" w:rsidRPr="003668CB">
              <w:rPr>
                <w:b/>
                <w:sz w:val="20"/>
                <w:szCs w:val="20"/>
              </w:rPr>
              <w:t>Pārkāpumi, kas saistīti ar Regulas Nr.</w:t>
            </w:r>
            <w:r w:rsidR="00803E68">
              <w:rPr>
                <w:b/>
                <w:sz w:val="20"/>
                <w:szCs w:val="20"/>
              </w:rPr>
              <w:t> </w:t>
            </w:r>
            <w:r w:rsidR="00721625" w:rsidRPr="003668CB">
              <w:rPr>
                <w:b/>
                <w:sz w:val="20"/>
                <w:szCs w:val="20"/>
              </w:rPr>
              <w:t>345/2013 21. pantā vai Regulas Nr. 346/2013 22. pantā norādīto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61F" w14:textId="77777777" w:rsidR="00721625" w:rsidRPr="008527D7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EDA" w14:textId="77777777" w:rsidR="00721625" w:rsidRPr="002544B9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  <w:r w:rsidRPr="00007340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A52" w14:textId="77777777" w:rsidR="00721625" w:rsidRPr="008527D7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F8F" w14:textId="77777777" w:rsidR="00721625" w:rsidRPr="008527D7" w:rsidRDefault="00721625" w:rsidP="00FF4F2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1625" w:rsidRPr="008527D7" w14:paraId="3187B163" w14:textId="77777777" w:rsidTr="00721625">
        <w:trPr>
          <w:trHeight w:val="152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424" w14:textId="46792C50" w:rsidR="00721625" w:rsidRPr="00D95140" w:rsidRDefault="00721625" w:rsidP="00FF4F29">
            <w:pPr>
              <w:ind w:firstLine="0"/>
              <w:jc w:val="left"/>
              <w:rPr>
                <w:b/>
                <w:noProof/>
                <w:sz w:val="18"/>
                <w:szCs w:val="18"/>
              </w:rPr>
            </w:pPr>
            <w:r w:rsidRPr="00D95140">
              <w:rPr>
                <w:b/>
                <w:noProof/>
                <w:sz w:val="18"/>
                <w:szCs w:val="18"/>
              </w:rPr>
              <w:t>Regulas Nr.</w:t>
            </w:r>
            <w:r w:rsidR="00CF3832">
              <w:rPr>
                <w:b/>
                <w:noProof/>
                <w:sz w:val="18"/>
                <w:szCs w:val="18"/>
              </w:rPr>
              <w:t> </w:t>
            </w:r>
            <w:r w:rsidRPr="00D95140">
              <w:rPr>
                <w:b/>
                <w:noProof/>
                <w:sz w:val="18"/>
                <w:szCs w:val="18"/>
              </w:rPr>
              <w:t>1286/2014</w:t>
            </w:r>
            <w:r w:rsidRPr="00D95140">
              <w:rPr>
                <w:rStyle w:val="FootnoteReference"/>
                <w:b/>
                <w:noProof/>
                <w:sz w:val="18"/>
                <w:szCs w:val="18"/>
              </w:rPr>
              <w:footnoteReference w:id="6"/>
            </w:r>
            <w:r w:rsidRPr="00D95140">
              <w:rPr>
                <w:b/>
                <w:noProof/>
                <w:sz w:val="18"/>
                <w:szCs w:val="18"/>
              </w:rPr>
              <w:t xml:space="preserve">  24.</w:t>
            </w:r>
            <w:r w:rsidR="009D6539">
              <w:rPr>
                <w:b/>
                <w:noProof/>
                <w:sz w:val="18"/>
                <w:szCs w:val="18"/>
              </w:rPr>
              <w:t> </w:t>
            </w:r>
            <w:r w:rsidRPr="00D95140">
              <w:rPr>
                <w:b/>
                <w:noProof/>
                <w:sz w:val="18"/>
                <w:szCs w:val="18"/>
              </w:rPr>
              <w:t>pantā minētie pārkāpumi</w:t>
            </w:r>
          </w:p>
          <w:p w14:paraId="16FFBF53" w14:textId="40A46495" w:rsidR="00721625" w:rsidRPr="00D95140" w:rsidRDefault="00721625" w:rsidP="00FF4F29">
            <w:pPr>
              <w:ind w:firstLine="0"/>
              <w:jc w:val="left"/>
              <w:rPr>
                <w:b/>
                <w:noProof/>
                <w:sz w:val="18"/>
                <w:szCs w:val="18"/>
              </w:rPr>
            </w:pPr>
            <w:r w:rsidRPr="00D95140">
              <w:rPr>
                <w:b/>
                <w:noProof/>
                <w:sz w:val="18"/>
                <w:szCs w:val="18"/>
              </w:rPr>
              <w:t>[soda uzlikšan</w:t>
            </w:r>
            <w:r w:rsidR="009D6539">
              <w:rPr>
                <w:b/>
                <w:noProof/>
                <w:sz w:val="18"/>
                <w:szCs w:val="18"/>
              </w:rPr>
              <w:t>a</w:t>
            </w:r>
            <w:r w:rsidRPr="00D95140">
              <w:rPr>
                <w:b/>
                <w:noProof/>
                <w:sz w:val="18"/>
                <w:szCs w:val="18"/>
              </w:rPr>
              <w:t xml:space="preserve"> par </w:t>
            </w:r>
            <w:r w:rsidR="00CF3832">
              <w:rPr>
                <w:b/>
                <w:noProof/>
                <w:sz w:val="18"/>
                <w:szCs w:val="18"/>
              </w:rPr>
              <w:t>r</w:t>
            </w:r>
            <w:r w:rsidRPr="00D95140">
              <w:rPr>
                <w:b/>
                <w:noProof/>
                <w:sz w:val="18"/>
                <w:szCs w:val="18"/>
              </w:rPr>
              <w:t>egulas prasību neievērošanu]</w:t>
            </w:r>
          </w:p>
          <w:p w14:paraId="6C5B8940" w14:textId="7DB38689" w:rsidR="00721625" w:rsidRPr="00D95140" w:rsidRDefault="00721625" w:rsidP="00FF4F29">
            <w:pPr>
              <w:ind w:firstLine="0"/>
              <w:jc w:val="left"/>
              <w:rPr>
                <w:b/>
                <w:noProof/>
                <w:sz w:val="18"/>
                <w:szCs w:val="18"/>
              </w:rPr>
            </w:pPr>
            <w:r w:rsidRPr="00D95140">
              <w:rPr>
                <w:b/>
                <w:noProof/>
                <w:sz w:val="18"/>
                <w:szCs w:val="18"/>
              </w:rPr>
              <w:t xml:space="preserve">5.(1) [pamatinf. dok. atbilstība </w:t>
            </w:r>
            <w:r w:rsidR="00CF3832">
              <w:rPr>
                <w:b/>
                <w:noProof/>
                <w:sz w:val="18"/>
                <w:szCs w:val="18"/>
              </w:rPr>
              <w:t>r</w:t>
            </w:r>
            <w:r w:rsidRPr="00D95140">
              <w:rPr>
                <w:b/>
                <w:noProof/>
                <w:sz w:val="18"/>
                <w:szCs w:val="18"/>
              </w:rPr>
              <w:t xml:space="preserve">egulas prasībām un public.], </w:t>
            </w:r>
          </w:p>
          <w:p w14:paraId="0EAD3BA3" w14:textId="2588EC00" w:rsidR="00721625" w:rsidRPr="00D95140" w:rsidRDefault="00721625" w:rsidP="00FF4F29">
            <w:pPr>
              <w:ind w:firstLine="0"/>
              <w:jc w:val="left"/>
              <w:rPr>
                <w:b/>
                <w:noProof/>
                <w:sz w:val="18"/>
                <w:szCs w:val="18"/>
              </w:rPr>
            </w:pPr>
            <w:r w:rsidRPr="00D95140">
              <w:rPr>
                <w:b/>
                <w:noProof/>
                <w:sz w:val="18"/>
                <w:szCs w:val="18"/>
              </w:rPr>
              <w:t>6., 7., 8. (1</w:t>
            </w:r>
            <w:r w:rsidR="00CF3832">
              <w:rPr>
                <w:b/>
                <w:noProof/>
                <w:sz w:val="18"/>
                <w:szCs w:val="18"/>
              </w:rPr>
              <w:t>–</w:t>
            </w:r>
            <w:r w:rsidRPr="00D95140">
              <w:rPr>
                <w:b/>
                <w:noProof/>
                <w:sz w:val="18"/>
                <w:szCs w:val="18"/>
              </w:rPr>
              <w:t>3), 9., 10. (1) [pamatinf. dok. forma un saturs]</w:t>
            </w:r>
          </w:p>
          <w:p w14:paraId="26D59889" w14:textId="77777777" w:rsidR="00721625" w:rsidRPr="00D95140" w:rsidRDefault="00721625" w:rsidP="00FF4F29">
            <w:pPr>
              <w:ind w:firstLine="0"/>
              <w:jc w:val="left"/>
              <w:rPr>
                <w:b/>
                <w:noProof/>
                <w:sz w:val="18"/>
                <w:szCs w:val="18"/>
              </w:rPr>
            </w:pPr>
            <w:r w:rsidRPr="00D95140">
              <w:rPr>
                <w:b/>
                <w:noProof/>
                <w:sz w:val="18"/>
                <w:szCs w:val="18"/>
              </w:rPr>
              <w:t>13. (1., 3. un 4.), 14. [pamatinf. dok. pieejamības nodrošin.]</w:t>
            </w:r>
          </w:p>
          <w:p w14:paraId="6B497BB6" w14:textId="77777777" w:rsidR="00721625" w:rsidRPr="00D95140" w:rsidRDefault="00721625" w:rsidP="00FF4F29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D95140">
              <w:rPr>
                <w:b/>
                <w:noProof/>
                <w:sz w:val="18"/>
                <w:szCs w:val="18"/>
              </w:rPr>
              <w:t>19. [sūdzību izskatīšanas process]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AB1" w14:textId="76C8CD6F" w:rsidR="00721625" w:rsidRPr="003668CB" w:rsidRDefault="001815EE" w:rsidP="00FF4F2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 </w:t>
            </w:r>
            <w:r w:rsidR="00721625" w:rsidRPr="003668CB">
              <w:rPr>
                <w:b/>
                <w:sz w:val="20"/>
                <w:szCs w:val="20"/>
              </w:rPr>
              <w:t>Regulas Nr.</w:t>
            </w:r>
            <w:r w:rsidR="00803E68">
              <w:rPr>
                <w:b/>
                <w:sz w:val="20"/>
                <w:szCs w:val="20"/>
              </w:rPr>
              <w:t> </w:t>
            </w:r>
            <w:r w:rsidR="00721625" w:rsidRPr="003668CB">
              <w:rPr>
                <w:b/>
                <w:sz w:val="20"/>
                <w:szCs w:val="20"/>
              </w:rPr>
              <w:t>1286/2014 prasību neievērošana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98" w14:textId="77777777" w:rsidR="00721625" w:rsidRPr="008527D7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726C" w14:textId="2D405E7D" w:rsidR="00721625" w:rsidRPr="00007340" w:rsidRDefault="00721625" w:rsidP="00621A88">
            <w:pPr>
              <w:ind w:firstLine="0"/>
              <w:jc w:val="center"/>
              <w:rPr>
                <w:sz w:val="28"/>
                <w:szCs w:val="28"/>
              </w:rPr>
            </w:pPr>
            <w:r w:rsidRPr="00C828E3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128" w14:textId="77777777" w:rsidR="00721625" w:rsidRPr="00DD4199" w:rsidRDefault="00721625" w:rsidP="00FF4F2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944" w14:textId="77777777" w:rsidR="00721625" w:rsidRPr="008527D7" w:rsidRDefault="00721625" w:rsidP="00FF4F2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340C" w:rsidRPr="008527D7" w14:paraId="13A94370" w14:textId="77777777" w:rsidTr="002039AE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E8DD5" w14:textId="51DFAAA6" w:rsidR="001F340C" w:rsidRPr="00CF3832" w:rsidRDefault="001F340C" w:rsidP="001F340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CF3832">
              <w:rPr>
                <w:b/>
                <w:sz w:val="18"/>
                <w:szCs w:val="18"/>
              </w:rPr>
              <w:t>AIFPL VI nodaļa, AIFPL 40</w:t>
            </w:r>
            <w:r w:rsidR="00CF3832">
              <w:rPr>
                <w:b/>
                <w:sz w:val="18"/>
                <w:szCs w:val="18"/>
              </w:rPr>
              <w:t>.</w:t>
            </w:r>
            <w:r w:rsidRPr="00CF3832">
              <w:rPr>
                <w:b/>
                <w:sz w:val="18"/>
                <w:szCs w:val="18"/>
              </w:rPr>
              <w:t xml:space="preserve"> (10),</w:t>
            </w:r>
          </w:p>
          <w:p w14:paraId="6A52B557" w14:textId="3BC687C2" w:rsidR="001F340C" w:rsidRPr="00CF3832" w:rsidRDefault="001F340C" w:rsidP="001F340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CF3832">
              <w:rPr>
                <w:b/>
                <w:sz w:val="18"/>
                <w:szCs w:val="18"/>
              </w:rPr>
              <w:t>tieši piemērojamie Eiropas Savienības tiesību akti, Kredītiestāžu likums un citi normatīvie akti, kas regulē finanšu instrumentu tirgu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BAA1" w14:textId="515AECF0" w:rsidR="001F340C" w:rsidRDefault="001F340C" w:rsidP="001F340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268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2E1F">
              <w:rPr>
                <w:b/>
                <w:sz w:val="20"/>
                <w:szCs w:val="20"/>
              </w:rPr>
              <w:t>Pārkāpumi, kas saistīti ar turētājbankas pakalpojumu sniegšanu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54CE" w14:textId="77777777" w:rsidR="001F340C" w:rsidRPr="008527D7" w:rsidRDefault="001F340C" w:rsidP="001F340C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E8474" w14:textId="77777777" w:rsidR="001F340C" w:rsidRPr="00721625" w:rsidRDefault="001F340C" w:rsidP="001F340C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02AC1ADB" w14:textId="77777777" w:rsidR="001F340C" w:rsidRPr="00721625" w:rsidRDefault="001F340C" w:rsidP="001F340C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F8EE654" w14:textId="77777777" w:rsidR="001F340C" w:rsidRPr="00721625" w:rsidRDefault="001F340C" w:rsidP="001F340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4826E2C9" w14:textId="77777777" w:rsidR="001F340C" w:rsidRPr="00721625" w:rsidRDefault="001F340C" w:rsidP="001F340C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</w:t>
            </w:r>
          </w:p>
          <w:p w14:paraId="07914406" w14:textId="77777777" w:rsidR="001F340C" w:rsidRPr="00007340" w:rsidRDefault="001F340C" w:rsidP="001F340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70154" w14:textId="77777777" w:rsidR="001F340C" w:rsidRPr="00721625" w:rsidRDefault="001F340C" w:rsidP="001F340C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 xml:space="preserve">X </w:t>
            </w:r>
            <w:r w:rsidRPr="00721625">
              <w:rPr>
                <w:sz w:val="20"/>
                <w:szCs w:val="20"/>
              </w:rPr>
              <w:t>(izņemot reģistrētos)</w:t>
            </w:r>
          </w:p>
          <w:p w14:paraId="515AB1DB" w14:textId="77777777" w:rsidR="001F340C" w:rsidRPr="00721625" w:rsidRDefault="001F340C" w:rsidP="001F340C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F65FD32" w14:textId="77777777" w:rsidR="001F340C" w:rsidRPr="00721625" w:rsidRDefault="001F340C" w:rsidP="001F340C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26AF2A74" w14:textId="77777777" w:rsidR="001F340C" w:rsidRPr="00721625" w:rsidRDefault="001F340C" w:rsidP="001F340C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 un K2</w:t>
            </w:r>
          </w:p>
          <w:p w14:paraId="6AEB54D9" w14:textId="77777777" w:rsidR="001F340C" w:rsidRPr="008527D7" w:rsidRDefault="001F340C" w:rsidP="001F340C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2EB49" w14:textId="77777777" w:rsidR="001F340C" w:rsidRPr="008527D7" w:rsidRDefault="001F340C" w:rsidP="001F340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0484" w:rsidRPr="008527D7" w14:paraId="197186CF" w14:textId="77777777" w:rsidTr="002039AE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5486" w14:textId="3B23ED1A" w:rsidR="00590484" w:rsidRPr="00CF3832" w:rsidRDefault="00590484" w:rsidP="00590484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CF3832">
              <w:rPr>
                <w:b/>
                <w:sz w:val="18"/>
                <w:szCs w:val="18"/>
              </w:rPr>
              <w:lastRenderedPageBreak/>
              <w:t>AIFPL, tieši piemērojamie Eiropas Savienības tiesību akti un citi normatīvie akti, kas nosaka ziņu snieg</w:t>
            </w:r>
            <w:r w:rsidR="00875032" w:rsidRPr="00CF3832">
              <w:rPr>
                <w:b/>
                <w:sz w:val="18"/>
                <w:szCs w:val="18"/>
              </w:rPr>
              <w:t>šanu un publiskošanu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5F90" w14:textId="4179C682" w:rsidR="00590484" w:rsidRDefault="007E6B6B" w:rsidP="0059048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="00590484" w:rsidRPr="00590484">
              <w:rPr>
                <w:b/>
                <w:sz w:val="20"/>
                <w:szCs w:val="20"/>
              </w:rPr>
              <w:t xml:space="preserve">Pārkāpumi, kas saistīti ar nepatiesu ziņu sniegšanu </w:t>
            </w:r>
            <w:r w:rsidR="00590484">
              <w:rPr>
                <w:b/>
                <w:sz w:val="20"/>
                <w:szCs w:val="20"/>
              </w:rPr>
              <w:t>Komisijai vai šādu ziņu publisku izplatīšanu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AEAB5" w14:textId="77777777" w:rsidR="00590484" w:rsidRPr="008527D7" w:rsidRDefault="00590484" w:rsidP="0059048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89832" w14:textId="3C084DF2" w:rsidR="00590484" w:rsidRPr="00721625" w:rsidRDefault="00590484" w:rsidP="00590484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>X</w:t>
            </w:r>
          </w:p>
          <w:p w14:paraId="29A38238" w14:textId="77777777" w:rsidR="00590484" w:rsidRPr="00721625" w:rsidRDefault="00590484" w:rsidP="0059048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00C75FD6" w14:textId="77777777" w:rsidR="00590484" w:rsidRPr="00721625" w:rsidRDefault="00590484" w:rsidP="00590484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</w:t>
            </w:r>
          </w:p>
          <w:p w14:paraId="1E6B01F7" w14:textId="77777777" w:rsidR="00590484" w:rsidRPr="00007340" w:rsidRDefault="00590484" w:rsidP="0059048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3EC6" w14:textId="3833F344" w:rsidR="00590484" w:rsidRPr="00721625" w:rsidRDefault="00590484" w:rsidP="00590484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8"/>
                <w:szCs w:val="28"/>
              </w:rPr>
              <w:t>X</w:t>
            </w:r>
          </w:p>
          <w:p w14:paraId="42D28628" w14:textId="77777777" w:rsidR="00590484" w:rsidRPr="00721625" w:rsidRDefault="00590484" w:rsidP="0059048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21625">
              <w:rPr>
                <w:b/>
                <w:bCs/>
                <w:sz w:val="20"/>
                <w:szCs w:val="20"/>
              </w:rPr>
              <w:t>Kritēriji:</w:t>
            </w:r>
          </w:p>
          <w:p w14:paraId="2171973B" w14:textId="77777777" w:rsidR="00590484" w:rsidRPr="00721625" w:rsidRDefault="00590484" w:rsidP="00590484">
            <w:pPr>
              <w:ind w:firstLine="0"/>
              <w:jc w:val="center"/>
              <w:rPr>
                <w:sz w:val="20"/>
                <w:szCs w:val="20"/>
              </w:rPr>
            </w:pPr>
            <w:r w:rsidRPr="00721625">
              <w:rPr>
                <w:sz w:val="20"/>
                <w:szCs w:val="20"/>
              </w:rPr>
              <w:t>K1 un K2</w:t>
            </w:r>
          </w:p>
          <w:p w14:paraId="0A371CE7" w14:textId="77777777" w:rsidR="00590484" w:rsidRPr="008527D7" w:rsidRDefault="00590484" w:rsidP="0059048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C77EC" w14:textId="77777777" w:rsidR="00590484" w:rsidRPr="008527D7" w:rsidRDefault="00590484" w:rsidP="0059048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0484" w:rsidRPr="008527D7" w14:paraId="42D9502D" w14:textId="77777777" w:rsidTr="00721625">
        <w:trPr>
          <w:trHeight w:val="56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CF8D5" w14:textId="77777777" w:rsidR="00590484" w:rsidRPr="00A901B7" w:rsidRDefault="00590484" w:rsidP="00590484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E35D" w14:textId="107E12FD" w:rsidR="00590484" w:rsidRPr="003668CB" w:rsidRDefault="00590484" w:rsidP="0059048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6B6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A3906">
              <w:rPr>
                <w:b/>
                <w:sz w:val="20"/>
                <w:szCs w:val="20"/>
              </w:rPr>
              <w:t>Pārkāpumi, kas saistīti ar citu AIFPL, tieši piemērojamo Eiropas Savienības tiesību aktu un Komisijas normatīvo noteikumu prasību neievērošan</w:t>
            </w:r>
            <w:r w:rsidR="009D6539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93469" w14:textId="77777777" w:rsidR="00590484" w:rsidRPr="008527D7" w:rsidRDefault="00590484" w:rsidP="0059048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C80E1" w14:textId="77777777" w:rsidR="00590484" w:rsidRPr="00007340" w:rsidRDefault="00590484" w:rsidP="00590484">
            <w:pPr>
              <w:ind w:firstLine="0"/>
              <w:jc w:val="center"/>
              <w:rPr>
                <w:sz w:val="28"/>
                <w:szCs w:val="28"/>
              </w:rPr>
            </w:pPr>
            <w:r w:rsidRPr="00007340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FE53" w14:textId="77777777" w:rsidR="00590484" w:rsidRPr="008527D7" w:rsidRDefault="00590484" w:rsidP="00590484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6DAD" w14:textId="77777777" w:rsidR="00590484" w:rsidRPr="008527D7" w:rsidRDefault="00590484" w:rsidP="0059048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652C7C0" w14:textId="77777777" w:rsidR="006D1E6E" w:rsidRDefault="006D1E6E"/>
    <w:sectPr w:rsidR="006D1E6E" w:rsidSect="000F6072">
      <w:headerReference w:type="default" r:id="rId7"/>
      <w:footerReference w:type="default" r:id="rId8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2349" w14:textId="77777777" w:rsidR="00E66BA8" w:rsidRDefault="00E66BA8" w:rsidP="006D1E6E">
      <w:r>
        <w:separator/>
      </w:r>
    </w:p>
  </w:endnote>
  <w:endnote w:type="continuationSeparator" w:id="0">
    <w:p w14:paraId="5B16CE14" w14:textId="77777777" w:rsidR="00E66BA8" w:rsidRDefault="00E66BA8" w:rsidP="006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384" w14:textId="73730FD9" w:rsidR="000F6072" w:rsidRDefault="000F6072">
    <w:pPr>
      <w:pStyle w:val="Footer"/>
      <w:jc w:val="center"/>
    </w:pPr>
  </w:p>
  <w:p w14:paraId="0AD337BB" w14:textId="77777777" w:rsidR="000F6072" w:rsidRDefault="000F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BF96" w14:textId="77777777" w:rsidR="00E66BA8" w:rsidRDefault="00E66BA8" w:rsidP="006D1E6E">
      <w:r>
        <w:separator/>
      </w:r>
    </w:p>
  </w:footnote>
  <w:footnote w:type="continuationSeparator" w:id="0">
    <w:p w14:paraId="51C999B3" w14:textId="77777777" w:rsidR="00E66BA8" w:rsidRDefault="00E66BA8" w:rsidP="006D1E6E">
      <w:r>
        <w:continuationSeparator/>
      </w:r>
    </w:p>
  </w:footnote>
  <w:footnote w:id="1">
    <w:p w14:paraId="35CC4FBF" w14:textId="13AB5477" w:rsidR="00721625" w:rsidRPr="00721625" w:rsidRDefault="00721625" w:rsidP="00D95140">
      <w:pPr>
        <w:pStyle w:val="FootnoteText"/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Alternatīvo ieguldījumu fondu un to pārvaldnieku likums</w:t>
      </w:r>
      <w:r w:rsidR="00CF3832">
        <w:t>.</w:t>
      </w:r>
    </w:p>
  </w:footnote>
  <w:footnote w:id="2">
    <w:p w14:paraId="0EC649A0" w14:textId="12AD279B" w:rsidR="00721625" w:rsidRPr="00721625" w:rsidRDefault="00721625" w:rsidP="00D95140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K1 </w:t>
      </w:r>
      <w:r w:rsidR="00CF3832">
        <w:t xml:space="preserve">– </w:t>
      </w:r>
      <w:r>
        <w:t>ārējo normatīvo aktu un iekšējo normatīvo dokumentu (</w:t>
      </w:r>
      <w:r w:rsidR="00CF3832">
        <w:t>t.sk.</w:t>
      </w:r>
      <w:r>
        <w:t xml:space="preserve"> fonda darbības noteikumu, fonda nolikuma, līgumu) prasību pārkāpums </w:t>
      </w:r>
      <w:r w:rsidRPr="00194E8B">
        <w:t>vai novirze no labās prakses</w:t>
      </w:r>
      <w:r>
        <w:t xml:space="preserve"> ar augstu faktisku vai potenciālu ietekmi pārvaldnieka ļaunprātīgas darbības vai bezdarbības rezultātā</w:t>
      </w:r>
      <w:r w:rsidR="00CF3832">
        <w:t>.</w:t>
      </w:r>
    </w:p>
  </w:footnote>
  <w:footnote w:id="3">
    <w:p w14:paraId="72394F06" w14:textId="17D52BAB" w:rsidR="00721625" w:rsidRPr="00721625" w:rsidRDefault="00721625" w:rsidP="00D95140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K2 </w:t>
      </w:r>
      <w:r w:rsidR="00CF3832">
        <w:t>–</w:t>
      </w:r>
      <w:r>
        <w:t xml:space="preserve"> </w:t>
      </w:r>
      <w:r w:rsidRPr="0087050C">
        <w:t xml:space="preserve">ir </w:t>
      </w:r>
      <w:r>
        <w:t>finansiālie</w:t>
      </w:r>
      <w:r w:rsidRPr="0087050C">
        <w:t xml:space="preserve"> zaudējumi ieguldītājiem vai fondam</w:t>
      </w:r>
      <w:r w:rsidR="00CF3832">
        <w:t>.</w:t>
      </w:r>
    </w:p>
  </w:footnote>
  <w:footnote w:id="4">
    <w:p w14:paraId="452101B1" w14:textId="30E01B7E" w:rsidR="00803E68" w:rsidRPr="00803E68" w:rsidRDefault="00803E68" w:rsidP="00D95140">
      <w:pPr>
        <w:ind w:firstLine="0"/>
        <w:jc w:val="left"/>
      </w:pPr>
      <w:r w:rsidRPr="00803E68">
        <w:rPr>
          <w:rStyle w:val="FootnoteReference"/>
          <w:sz w:val="20"/>
          <w:szCs w:val="20"/>
        </w:rPr>
        <w:footnoteRef/>
      </w:r>
      <w:r w:rsidRPr="00803E68">
        <w:rPr>
          <w:sz w:val="20"/>
          <w:szCs w:val="20"/>
        </w:rPr>
        <w:t xml:space="preserve"> </w:t>
      </w:r>
      <w:r w:rsidRPr="00803E68">
        <w:rPr>
          <w:color w:val="333333"/>
          <w:sz w:val="20"/>
          <w:szCs w:val="20"/>
          <w:shd w:val="clear" w:color="auto" w:fill="FFFFFF"/>
        </w:rPr>
        <w:t>Regula (ES) Nr. 345/2013 (2013. gada 17. aprīlis) par Eiropas riska kapitāla fondiem.</w:t>
      </w:r>
    </w:p>
  </w:footnote>
  <w:footnote w:id="5">
    <w:p w14:paraId="0A82F317" w14:textId="6C85549C" w:rsidR="00803E68" w:rsidRPr="00803E68" w:rsidRDefault="00803E68" w:rsidP="00D95140">
      <w:pPr>
        <w:ind w:firstLine="0"/>
        <w:jc w:val="left"/>
      </w:pPr>
      <w:r w:rsidRPr="00803E68">
        <w:rPr>
          <w:rStyle w:val="FootnoteReference"/>
          <w:sz w:val="20"/>
          <w:szCs w:val="20"/>
        </w:rPr>
        <w:footnoteRef/>
      </w:r>
      <w:r w:rsidRPr="00803E68">
        <w:rPr>
          <w:sz w:val="20"/>
          <w:szCs w:val="20"/>
        </w:rPr>
        <w:t xml:space="preserve"> </w:t>
      </w:r>
      <w:r w:rsidRPr="00803E68">
        <w:rPr>
          <w:color w:val="333333"/>
          <w:sz w:val="20"/>
          <w:szCs w:val="20"/>
          <w:shd w:val="clear" w:color="auto" w:fill="FFFFFF"/>
        </w:rPr>
        <w:t>Regula (ES) Nr. 346/2013 (2013. gada 17. aprīlis) par Eiropas sociālās uzņēmējdarbības fondiem. </w:t>
      </w:r>
    </w:p>
  </w:footnote>
  <w:footnote w:id="6">
    <w:p w14:paraId="7785FEB1" w14:textId="7C9023A5" w:rsidR="00721625" w:rsidRPr="00803E68" w:rsidRDefault="00721625" w:rsidP="00D95140">
      <w:pPr>
        <w:pStyle w:val="FootnoteText"/>
        <w:ind w:firstLine="0"/>
      </w:pPr>
      <w:r w:rsidRPr="00803E68">
        <w:rPr>
          <w:rStyle w:val="FootnoteReference"/>
        </w:rPr>
        <w:footnoteRef/>
      </w:r>
      <w:r w:rsidRPr="00803E68">
        <w:t xml:space="preserve"> </w:t>
      </w:r>
      <w:r w:rsidRPr="00803E68">
        <w:rPr>
          <w:rFonts w:eastAsiaTheme="minorHAnsi"/>
          <w:lang w:eastAsia="en-US"/>
        </w:rPr>
        <w:t>Regula (ES) Nr. 1286/2014 (2014. gada 26. novembris) par komplektētu privāto ieguldījumu un apdrošināšanas ieguldījumu produktu (</w:t>
      </w:r>
      <w:r w:rsidRPr="00D95140">
        <w:rPr>
          <w:rFonts w:eastAsiaTheme="minorHAnsi"/>
          <w:i/>
          <w:iCs/>
          <w:lang w:eastAsia="en-US"/>
        </w:rPr>
        <w:t>PRIIP</w:t>
      </w:r>
      <w:r w:rsidRPr="00803E68">
        <w:rPr>
          <w:rFonts w:eastAsiaTheme="minorHAnsi"/>
          <w:lang w:eastAsia="en-US"/>
        </w:rPr>
        <w:t>) pamatinformācijas dokumentiem</w:t>
      </w:r>
      <w:r w:rsidR="00CF3832" w:rsidRPr="00803E68">
        <w:rPr>
          <w:rFonts w:eastAsia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4258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FAD4D" w14:textId="350BF4B0" w:rsidR="00051A82" w:rsidRDefault="00051A82" w:rsidP="00D951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767A3" w14:textId="77777777" w:rsidR="00051A82" w:rsidRDefault="00051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6E"/>
    <w:rsid w:val="00001F64"/>
    <w:rsid w:val="00007340"/>
    <w:rsid w:val="00051A82"/>
    <w:rsid w:val="000C38D5"/>
    <w:rsid w:val="000C4C26"/>
    <w:rsid w:val="000C6D8E"/>
    <w:rsid w:val="000F6072"/>
    <w:rsid w:val="001256EB"/>
    <w:rsid w:val="00126865"/>
    <w:rsid w:val="001729BB"/>
    <w:rsid w:val="001815EE"/>
    <w:rsid w:val="001F340C"/>
    <w:rsid w:val="002039AE"/>
    <w:rsid w:val="002544B9"/>
    <w:rsid w:val="00301316"/>
    <w:rsid w:val="003977D5"/>
    <w:rsid w:val="00434DB7"/>
    <w:rsid w:val="00437AC1"/>
    <w:rsid w:val="0044469C"/>
    <w:rsid w:val="004A7E90"/>
    <w:rsid w:val="004D29C1"/>
    <w:rsid w:val="0058252A"/>
    <w:rsid w:val="00590484"/>
    <w:rsid w:val="005E4BC6"/>
    <w:rsid w:val="00607B03"/>
    <w:rsid w:val="00621A88"/>
    <w:rsid w:val="00686A91"/>
    <w:rsid w:val="006D1E6E"/>
    <w:rsid w:val="00721625"/>
    <w:rsid w:val="007B4BB2"/>
    <w:rsid w:val="007D1A83"/>
    <w:rsid w:val="007E6B6B"/>
    <w:rsid w:val="00800401"/>
    <w:rsid w:val="00803E68"/>
    <w:rsid w:val="00832E1F"/>
    <w:rsid w:val="00875032"/>
    <w:rsid w:val="00887466"/>
    <w:rsid w:val="008A3906"/>
    <w:rsid w:val="00976260"/>
    <w:rsid w:val="009D6539"/>
    <w:rsid w:val="00A62E18"/>
    <w:rsid w:val="00A7516B"/>
    <w:rsid w:val="00A85B06"/>
    <w:rsid w:val="00AF7B24"/>
    <w:rsid w:val="00C828E3"/>
    <w:rsid w:val="00CF3832"/>
    <w:rsid w:val="00D779CB"/>
    <w:rsid w:val="00D95140"/>
    <w:rsid w:val="00DC4B6F"/>
    <w:rsid w:val="00DD4199"/>
    <w:rsid w:val="00E27720"/>
    <w:rsid w:val="00E66BA8"/>
    <w:rsid w:val="00F35256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58045"/>
  <w15:chartTrackingRefBased/>
  <w15:docId w15:val="{55C23E37-FC47-40A8-BC18-DA08A0D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uiPriority w:val="99"/>
    <w:semiHidden/>
    <w:rsid w:val="006D1E6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6D1E6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D1E6E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uiPriority w:val="99"/>
    <w:semiHidden/>
    <w:rsid w:val="006D1E6E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E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E6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iPriority w:val="99"/>
    <w:semiHidden/>
    <w:unhideWhenUsed/>
    <w:rsid w:val="006D1E6E"/>
    <w:rPr>
      <w:vertAlign w:val="superscript"/>
    </w:rPr>
  </w:style>
  <w:style w:type="character" w:customStyle="1" w:styleId="normaltextrun">
    <w:name w:val="normaltextrun"/>
    <w:basedOn w:val="DefaultParagraphFont"/>
    <w:rsid w:val="006D1E6E"/>
  </w:style>
  <w:style w:type="paragraph" w:styleId="ListParagraph">
    <w:name w:val="List Paragraph"/>
    <w:basedOn w:val="Normal"/>
    <w:uiPriority w:val="34"/>
    <w:qFormat/>
    <w:rsid w:val="00DD41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199"/>
    <w:rPr>
      <w:rFonts w:eastAsia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419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0F6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7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F6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7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CF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DFA1-3E42-4BE3-88C8-B4B26D21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2706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Lenss</dc:creator>
  <cp:keywords/>
  <dc:description/>
  <cp:lastModifiedBy>Linda Egle</cp:lastModifiedBy>
  <cp:revision>3</cp:revision>
  <dcterms:created xsi:type="dcterms:W3CDTF">2022-07-05T04:13:00Z</dcterms:created>
  <dcterms:modified xsi:type="dcterms:W3CDTF">2022-07-05T08:33:00Z</dcterms:modified>
</cp:coreProperties>
</file>