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C24B" w14:textId="24981A0F" w:rsidR="006D1E6E" w:rsidRDefault="00DF36EF" w:rsidP="006D1E6E">
      <w:pPr>
        <w:ind w:firstLine="0"/>
        <w:jc w:val="right"/>
      </w:pPr>
      <w:r>
        <w:t>4. p</w:t>
      </w:r>
      <w:r w:rsidR="006D1E6E">
        <w:t>ielikums</w:t>
      </w:r>
    </w:p>
    <w:p w14:paraId="3A917DAE" w14:textId="7A91B16D" w:rsidR="006D1E6E" w:rsidRDefault="006D1E6E" w:rsidP="006D1E6E">
      <w:pPr>
        <w:ind w:firstLine="0"/>
        <w:jc w:val="right"/>
      </w:pPr>
      <w:r>
        <w:t>Finanšu un kapitāla tirgus komisijas</w:t>
      </w:r>
      <w:r w:rsidR="00AE6E03">
        <w:t xml:space="preserve"> 05</w:t>
      </w:r>
      <w:r>
        <w:t>.</w:t>
      </w:r>
      <w:r w:rsidR="00AE6E03">
        <w:t>07.2022</w:t>
      </w:r>
      <w:r>
        <w:t>.</w:t>
      </w:r>
    </w:p>
    <w:p w14:paraId="7A8F4C28" w14:textId="7193DC9B" w:rsidR="006D1E6E" w:rsidRPr="00C1087C" w:rsidRDefault="00DF36EF" w:rsidP="006D1E6E">
      <w:pPr>
        <w:ind w:firstLine="0"/>
        <w:jc w:val="right"/>
      </w:pPr>
      <w:r>
        <w:t>i</w:t>
      </w:r>
      <w:r w:rsidR="006D1E6E">
        <w:t>eteikumiem  Nr.</w:t>
      </w:r>
      <w:r w:rsidR="00AE6E03">
        <w:t xml:space="preserve"> 120 </w:t>
      </w:r>
    </w:p>
    <w:p w14:paraId="2B858E8E" w14:textId="77777777" w:rsidR="00DF36EF" w:rsidRDefault="00DF36EF" w:rsidP="000F6072">
      <w:pPr>
        <w:jc w:val="center"/>
        <w:rPr>
          <w:b/>
          <w:noProof/>
        </w:rPr>
      </w:pPr>
    </w:p>
    <w:p w14:paraId="101AEA50" w14:textId="19C8C8FB" w:rsidR="000F6072" w:rsidRPr="00040CC0" w:rsidRDefault="000F6072" w:rsidP="000F6072">
      <w:pPr>
        <w:jc w:val="center"/>
        <w:rPr>
          <w:b/>
          <w:noProof/>
        </w:rPr>
      </w:pPr>
      <w:r w:rsidRPr="00040CC0">
        <w:rPr>
          <w:b/>
          <w:noProof/>
        </w:rPr>
        <w:t>Apdrošināšanas un pārapdrošināšanas starpniek</w:t>
      </w:r>
      <w:r w:rsidR="009B71C0">
        <w:rPr>
          <w:b/>
          <w:noProof/>
        </w:rPr>
        <w:t>a</w:t>
      </w:r>
      <w:r w:rsidRPr="00040CC0">
        <w:rPr>
          <w:b/>
          <w:noProof/>
        </w:rPr>
        <w:t>m</w:t>
      </w:r>
    </w:p>
    <w:p w14:paraId="66699377" w14:textId="7E24F940" w:rsidR="006D1E6E" w:rsidRPr="00E81C2C" w:rsidRDefault="000F6072" w:rsidP="000F6072">
      <w:pPr>
        <w:jc w:val="center"/>
        <w:rPr>
          <w:b/>
          <w:noProof/>
        </w:rPr>
      </w:pPr>
      <w:r w:rsidRPr="00040CC0">
        <w:rPr>
          <w:b/>
          <w:noProof/>
        </w:rPr>
        <w:t>piemērojamās sankcijas</w:t>
      </w:r>
    </w:p>
    <w:p w14:paraId="4BFED4B9" w14:textId="1AB90632" w:rsidR="00437AC1" w:rsidRDefault="00437AC1"/>
    <w:p w14:paraId="472F645C" w14:textId="002A001B" w:rsidR="006D1E6E" w:rsidRDefault="006D1E6E"/>
    <w:tbl>
      <w:tblPr>
        <w:tblW w:w="13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693"/>
        <w:gridCol w:w="2126"/>
        <w:gridCol w:w="2410"/>
        <w:gridCol w:w="2410"/>
        <w:gridCol w:w="2409"/>
      </w:tblGrid>
      <w:tr w:rsidR="006D1E6E" w:rsidRPr="008527D7" w14:paraId="619A30CF" w14:textId="77777777" w:rsidTr="0041176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05E0" w14:textId="769F1117" w:rsidR="006D1E6E" w:rsidRDefault="00DF36EF" w:rsidP="000D0E7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65C22">
              <w:rPr>
                <w:b/>
                <w:sz w:val="20"/>
                <w:szCs w:val="20"/>
              </w:rPr>
              <w:t>Atsauce uz normatīvajiem aktiem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8853BE" w14:textId="77777777" w:rsidR="006D1E6E" w:rsidRDefault="006D1E6E" w:rsidP="00B86CE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B2A6A">
              <w:rPr>
                <w:b/>
                <w:bCs/>
                <w:sz w:val="20"/>
                <w:szCs w:val="20"/>
              </w:rPr>
              <w:t>Pārkāpuma veids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01730B" w14:textId="6BB7BBF4" w:rsidR="006D1E6E" w:rsidRPr="00E66470" w:rsidRDefault="00952567" w:rsidP="00B86CE7">
            <w:pPr>
              <w:ind w:firstLine="0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Formāls pārkāpums</w:t>
            </w:r>
          </w:p>
          <w:p w14:paraId="1EA750BA" w14:textId="1A0933DE" w:rsidR="006D1E6E" w:rsidRPr="00E66470" w:rsidRDefault="006D1E6E" w:rsidP="00B86CE7">
            <w:pPr>
              <w:ind w:firstLine="0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3D0C059" w14:textId="77777777" w:rsidR="006D1E6E" w:rsidRDefault="006D1E6E" w:rsidP="00B86CE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2A6A">
              <w:rPr>
                <w:b/>
                <w:bCs/>
                <w:sz w:val="20"/>
                <w:szCs w:val="20"/>
              </w:rPr>
              <w:t>Viegls pārkāpums</w:t>
            </w:r>
          </w:p>
          <w:p w14:paraId="4A6FC277" w14:textId="6E1799A5" w:rsidR="006D1E6E" w:rsidRDefault="006D1E6E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C84288C" w14:textId="7B051D3F" w:rsidR="006D1E6E" w:rsidRPr="00E66470" w:rsidRDefault="006D1E6E" w:rsidP="00B86CE7">
            <w:pPr>
              <w:ind w:firstLine="0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E66470">
              <w:rPr>
                <w:b/>
                <w:bCs/>
                <w:sz w:val="20"/>
                <w:szCs w:val="20"/>
                <w:highlight w:val="red"/>
              </w:rPr>
              <w:t>Nopietns (smags) pārkāpum</w:t>
            </w:r>
            <w:r w:rsidR="002B0978">
              <w:rPr>
                <w:b/>
                <w:bCs/>
                <w:sz w:val="20"/>
                <w:szCs w:val="20"/>
                <w:highlight w:val="red"/>
              </w:rPr>
              <w:t>s</w:t>
            </w:r>
          </w:p>
          <w:p w14:paraId="35144A1E" w14:textId="1A6E5285" w:rsidR="006D1E6E" w:rsidRPr="00E66470" w:rsidRDefault="006D1E6E" w:rsidP="00B86CE7">
            <w:pPr>
              <w:ind w:hanging="19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66C30C5" w14:textId="77777777" w:rsidR="006D1E6E" w:rsidRDefault="006D1E6E" w:rsidP="00B86CE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2A6A">
              <w:rPr>
                <w:b/>
                <w:bCs/>
                <w:sz w:val="20"/>
                <w:szCs w:val="20"/>
              </w:rPr>
              <w:t>Kritisks pārkāpums</w:t>
            </w:r>
          </w:p>
          <w:p w14:paraId="5F97E788" w14:textId="15606A4C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65538240" w14:textId="77777777" w:rsidTr="00EF7A8B">
        <w:trPr>
          <w:trHeight w:val="75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46034" w14:textId="20B6F8BB" w:rsidR="00607B03" w:rsidRP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</w:t>
            </w:r>
            <w:r w:rsidR="000F6072">
              <w:rPr>
                <w:rStyle w:val="FootnoteReference"/>
                <w:b/>
                <w:sz w:val="18"/>
                <w:szCs w:val="18"/>
              </w:rPr>
              <w:footnoteReference w:id="1"/>
            </w:r>
            <w:r w:rsidRPr="00607B03">
              <w:rPr>
                <w:b/>
                <w:sz w:val="18"/>
                <w:szCs w:val="18"/>
              </w:rPr>
              <w:t xml:space="preserve"> </w:t>
            </w:r>
            <w:r w:rsidR="003C6604">
              <w:rPr>
                <w:b/>
                <w:sz w:val="18"/>
                <w:szCs w:val="18"/>
              </w:rPr>
              <w:t>64</w:t>
            </w:r>
            <w:r w:rsidRPr="00607B03">
              <w:rPr>
                <w:b/>
                <w:sz w:val="18"/>
                <w:szCs w:val="18"/>
              </w:rPr>
              <w:t>.(</w:t>
            </w:r>
            <w:r w:rsidR="003C6604">
              <w:rPr>
                <w:b/>
                <w:sz w:val="18"/>
                <w:szCs w:val="18"/>
              </w:rPr>
              <w:t>3</w:t>
            </w:r>
            <w:r w:rsidRPr="00607B03">
              <w:rPr>
                <w:b/>
                <w:sz w:val="18"/>
                <w:szCs w:val="18"/>
              </w:rPr>
              <w:t>)</w:t>
            </w:r>
          </w:p>
          <w:p w14:paraId="734F5E52" w14:textId="2D24A470" w:rsidR="006D1E6E" w:rsidRDefault="006D1E6E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269EC" w14:textId="46D2FF41" w:rsidR="006D1E6E" w:rsidRPr="00DD4199" w:rsidRDefault="00DD4199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6D1E6E" w:rsidRPr="00DD4199">
              <w:rPr>
                <w:b/>
                <w:sz w:val="18"/>
                <w:szCs w:val="18"/>
              </w:rPr>
              <w:t>Termiņa (informācijas sniegšana u.c.) kavējums – pēc Komisijas pieprasījuma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65F91" w14:textId="7755DF36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8D3FE7" w14:textId="77777777" w:rsidR="006D1E6E" w:rsidRDefault="006D1E6E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D94F12" w14:textId="77777777" w:rsidR="006D1E6E" w:rsidRPr="008527D7" w:rsidRDefault="006D1E6E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2A52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07A0DBA6" w14:textId="77777777" w:rsidTr="00EF7A8B">
        <w:trPr>
          <w:trHeight w:val="112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05586" w14:textId="279731B0" w:rsidR="000C68DC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 xml:space="preserve">APIL </w:t>
            </w:r>
            <w:r w:rsidR="000C68DC">
              <w:rPr>
                <w:b/>
                <w:sz w:val="18"/>
                <w:szCs w:val="18"/>
              </w:rPr>
              <w:t>32.(1) (2)</w:t>
            </w:r>
          </w:p>
          <w:p w14:paraId="4FB8B1C2" w14:textId="4D883A08" w:rsidR="006D1E6E" w:rsidRDefault="000C68DC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APIL </w:t>
            </w:r>
            <w:r w:rsidR="00607B03" w:rsidRPr="00607B03">
              <w:rPr>
                <w:b/>
                <w:sz w:val="18"/>
                <w:szCs w:val="18"/>
              </w:rPr>
              <w:t>61.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83784" w14:textId="6B0C82BA" w:rsidR="006D1E6E" w:rsidRPr="00DD4199" w:rsidRDefault="00DD4199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6D1E6E" w:rsidRPr="00DD4199">
              <w:rPr>
                <w:b/>
                <w:sz w:val="18"/>
                <w:szCs w:val="18"/>
              </w:rPr>
              <w:t>Termiņa (pārskatu sniegšana vai publicēšana) kavējums – normatīvajos aktos noteiktie termiņi pārskatu iesniegšanai/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D1E6E" w:rsidRPr="00DD4199">
              <w:rPr>
                <w:b/>
                <w:sz w:val="18"/>
                <w:szCs w:val="18"/>
              </w:rPr>
              <w:t>publicēšanai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C6AD34" w14:textId="4D793B7D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EF6D3E" w14:textId="77777777" w:rsidR="006D1E6E" w:rsidRDefault="006D1E6E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3EDD0E" w14:textId="77777777" w:rsidR="006D1E6E" w:rsidRPr="008527D7" w:rsidRDefault="006D1E6E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53C0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761DE02E" w14:textId="77777777" w:rsidTr="00EF7A8B">
        <w:trPr>
          <w:trHeight w:val="169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30B0" w14:textId="77777777" w:rsidR="00607B03" w:rsidRP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7.(2)</w:t>
            </w:r>
          </w:p>
          <w:p w14:paraId="14339626" w14:textId="77777777" w:rsidR="00607B03" w:rsidRP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8.(5) (6)</w:t>
            </w:r>
          </w:p>
          <w:p w14:paraId="1A13EADA" w14:textId="77777777" w:rsidR="00607B03" w:rsidRP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 xml:space="preserve">APIL 28.(10) </w:t>
            </w:r>
          </w:p>
          <w:p w14:paraId="72CEEF72" w14:textId="74EBB45A" w:rsidR="00A2181C" w:rsidRPr="00607B03" w:rsidRDefault="00A2181C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APIL 52.(3)</w:t>
            </w:r>
          </w:p>
          <w:p w14:paraId="41171C30" w14:textId="688B34E6" w:rsidR="006D1E6E" w:rsidRDefault="006D1E6E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12FB6" w14:textId="5906708F" w:rsidR="006D1E6E" w:rsidRPr="00DD4199" w:rsidRDefault="00DD4199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6D1E6E" w:rsidRPr="00DD4199">
              <w:rPr>
                <w:b/>
                <w:sz w:val="18"/>
                <w:szCs w:val="18"/>
              </w:rPr>
              <w:t>Termiņa kavējums – normatīvajos aktos noteikti</w:t>
            </w:r>
            <w:r w:rsidR="00286D6A">
              <w:rPr>
                <w:b/>
                <w:sz w:val="18"/>
                <w:szCs w:val="18"/>
              </w:rPr>
              <w:t>e</w:t>
            </w:r>
            <w:r w:rsidR="006D1E6E" w:rsidRPr="00DD4199">
              <w:rPr>
                <w:b/>
                <w:sz w:val="18"/>
                <w:szCs w:val="18"/>
              </w:rPr>
              <w:t xml:space="preserve"> termiņi informācijas/ paziņojuma, dokumentu sniegšanai, neparedzot tālāku Komisijas saskaņojuma vai atļaujas sniegšanu (</w:t>
            </w:r>
            <w:r w:rsidR="00030504">
              <w:rPr>
                <w:b/>
                <w:sz w:val="18"/>
                <w:szCs w:val="18"/>
              </w:rPr>
              <w:t xml:space="preserve">būtiska līdzdalība, </w:t>
            </w:r>
            <w:r w:rsidR="006D1E6E" w:rsidRPr="00DD4199">
              <w:rPr>
                <w:b/>
                <w:sz w:val="18"/>
                <w:szCs w:val="18"/>
              </w:rPr>
              <w:t>ciešas attiecības</w:t>
            </w:r>
            <w:r w:rsidR="00030504">
              <w:rPr>
                <w:b/>
                <w:sz w:val="18"/>
                <w:szCs w:val="18"/>
              </w:rPr>
              <w:t xml:space="preserve"> u.c.</w:t>
            </w:r>
            <w:r w:rsidR="006D1E6E" w:rsidRPr="00DD419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B01D86" w14:textId="456684A9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997AA" w14:textId="77777777" w:rsidR="006D1E6E" w:rsidRDefault="006D1E6E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EC2382" w14:textId="77777777" w:rsidR="006D1E6E" w:rsidRPr="008527D7" w:rsidRDefault="006D1E6E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B0865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C6604" w:rsidRPr="008527D7" w14:paraId="7FA40DC5" w14:textId="77777777" w:rsidTr="00411769">
        <w:trPr>
          <w:trHeight w:val="4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2883E" w14:textId="2401D744" w:rsidR="00E13337" w:rsidRPr="00607B03" w:rsidRDefault="00E13337" w:rsidP="00E13337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48.</w:t>
            </w:r>
            <w:r w:rsidR="00125475">
              <w:rPr>
                <w:b/>
                <w:sz w:val="18"/>
                <w:szCs w:val="18"/>
              </w:rPr>
              <w:t xml:space="preserve">(1) </w:t>
            </w:r>
            <w:r w:rsidRPr="00607B03">
              <w:rPr>
                <w:b/>
                <w:sz w:val="18"/>
                <w:szCs w:val="18"/>
              </w:rPr>
              <w:t>(6)</w:t>
            </w:r>
          </w:p>
          <w:p w14:paraId="3D718BC3" w14:textId="68E3173D" w:rsidR="00E13337" w:rsidRDefault="00E13337" w:rsidP="00E13337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50.</w:t>
            </w:r>
            <w:r w:rsidR="00125475">
              <w:rPr>
                <w:b/>
                <w:sz w:val="18"/>
                <w:szCs w:val="18"/>
              </w:rPr>
              <w:t xml:space="preserve">(1) </w:t>
            </w:r>
            <w:r w:rsidRPr="00607B03">
              <w:rPr>
                <w:b/>
                <w:sz w:val="18"/>
                <w:szCs w:val="18"/>
              </w:rPr>
              <w:t>(9)</w:t>
            </w:r>
          </w:p>
          <w:p w14:paraId="480B9E7E" w14:textId="6AFF6356" w:rsidR="00E13337" w:rsidRDefault="00E13337" w:rsidP="00E1333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APIL 53.</w:t>
            </w:r>
            <w:r w:rsidR="00125475">
              <w:rPr>
                <w:b/>
                <w:sz w:val="18"/>
                <w:szCs w:val="18"/>
              </w:rPr>
              <w:t xml:space="preserve">(1) </w:t>
            </w:r>
            <w:r>
              <w:rPr>
                <w:b/>
                <w:sz w:val="18"/>
                <w:szCs w:val="18"/>
              </w:rPr>
              <w:t>(5)</w:t>
            </w:r>
          </w:p>
          <w:p w14:paraId="490D9937" w14:textId="77777777" w:rsidR="003C6604" w:rsidRPr="00607B03" w:rsidRDefault="003C6604" w:rsidP="00125475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BBC8E" w14:textId="69F7B238" w:rsidR="003C6604" w:rsidRDefault="003C6604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DD4199">
              <w:rPr>
                <w:b/>
                <w:sz w:val="18"/>
                <w:szCs w:val="18"/>
              </w:rPr>
              <w:t>Termiņa kavējums – normatīvajos aktos noteikti</w:t>
            </w:r>
            <w:r w:rsidR="00286D6A">
              <w:rPr>
                <w:b/>
                <w:sz w:val="18"/>
                <w:szCs w:val="18"/>
              </w:rPr>
              <w:t>e</w:t>
            </w:r>
            <w:r w:rsidRPr="00DD4199">
              <w:rPr>
                <w:b/>
                <w:sz w:val="18"/>
                <w:szCs w:val="18"/>
              </w:rPr>
              <w:t xml:space="preserve"> termiņi informācijas/ paziņojuma, dokumentu sniegšanai, paredzot tālāku Komisijas saskaņojuma vai atļaujas sniegšanu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3D6ACE" w14:textId="77777777" w:rsidR="003C6604" w:rsidRDefault="003C6604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3724CC" w14:textId="77777777" w:rsidR="003C6604" w:rsidRDefault="003C6604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8B7648" w14:textId="7A502A73" w:rsidR="003C6604" w:rsidRPr="008527D7" w:rsidRDefault="003C6604" w:rsidP="00B86CE7">
            <w:pPr>
              <w:ind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8FA2" w14:textId="77777777" w:rsidR="003C6604" w:rsidRPr="008527D7" w:rsidRDefault="003C6604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318A622C" w14:textId="77777777" w:rsidTr="0041176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277E" w14:textId="77777777" w:rsidR="00607B03" w:rsidRPr="00607B03" w:rsidRDefault="00607B03" w:rsidP="00607B03">
            <w:pPr>
              <w:ind w:firstLine="0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lastRenderedPageBreak/>
              <w:t>APIL 16.</w:t>
            </w:r>
          </w:p>
          <w:p w14:paraId="0860DDED" w14:textId="77777777" w:rsidR="00607B03" w:rsidRPr="00607B03" w:rsidRDefault="00607B03" w:rsidP="00607B03">
            <w:pPr>
              <w:ind w:firstLine="0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 xml:space="preserve">APIL 17. </w:t>
            </w:r>
          </w:p>
          <w:p w14:paraId="072E75B6" w14:textId="77777777" w:rsidR="00607B03" w:rsidRPr="00607B03" w:rsidRDefault="00607B03" w:rsidP="00607B03">
            <w:pPr>
              <w:ind w:firstLine="0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18.</w:t>
            </w:r>
          </w:p>
          <w:p w14:paraId="1C668BD4" w14:textId="77777777" w:rsidR="00607B03" w:rsidRPr="00607B03" w:rsidRDefault="00607B03" w:rsidP="00607B03">
            <w:pPr>
              <w:ind w:firstLine="0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19.</w:t>
            </w:r>
          </w:p>
          <w:p w14:paraId="250F0D26" w14:textId="77777777" w:rsidR="00607B03" w:rsidRPr="00607B03" w:rsidRDefault="00607B03" w:rsidP="00607B03">
            <w:pPr>
              <w:ind w:firstLine="0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21.</w:t>
            </w:r>
          </w:p>
          <w:p w14:paraId="4D782912" w14:textId="77777777" w:rsidR="00607B03" w:rsidRPr="00607B03" w:rsidRDefault="00607B03" w:rsidP="00607B03">
            <w:pPr>
              <w:ind w:firstLine="0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22.</w:t>
            </w:r>
          </w:p>
          <w:p w14:paraId="732E4E94" w14:textId="0292DB1C" w:rsidR="006D1E6E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23.(1) (2) (6)</w:t>
            </w:r>
            <w:r w:rsidR="003150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8965FF" w14:textId="6E59F4F1" w:rsidR="006D1E6E" w:rsidRPr="00DD4199" w:rsidRDefault="00E13337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D4199">
              <w:rPr>
                <w:b/>
                <w:sz w:val="18"/>
                <w:szCs w:val="18"/>
              </w:rPr>
              <w:t xml:space="preserve">. </w:t>
            </w:r>
            <w:r w:rsidR="00607B03" w:rsidRPr="00607B03">
              <w:rPr>
                <w:b/>
                <w:sz w:val="18"/>
                <w:szCs w:val="18"/>
              </w:rPr>
              <w:t>Apdrošināšanas vai pārapdrošināšanas starpnieka atbildīgās personas, apdrošināšanas  papildpakalpojuma starpnieka atbildīgās personas, apdrošināšanas vai pārapdrošināšanas izplatīšanā tieši iesaistītā darbinieka neatbilstība APIL prasībām vai izdarīts APIL prasību pārkāpums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AC691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40AE33" w14:textId="5C640467" w:rsidR="006D1E6E" w:rsidRPr="006D1E6E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  <w:r w:rsidRPr="006D1E6E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67A862" w14:textId="77777777" w:rsidR="006D1E6E" w:rsidRPr="008527D7" w:rsidRDefault="006D1E6E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36083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7F9B2987" w14:textId="77777777" w:rsidTr="0041176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878EF" w14:textId="4D39A424" w:rsidR="006D1E6E" w:rsidRDefault="00607B03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31.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455C5" w14:textId="0C16B0BF" w:rsidR="006D1E6E" w:rsidRPr="00DD4199" w:rsidRDefault="00E13337" w:rsidP="00E1333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D4199">
              <w:rPr>
                <w:b/>
                <w:sz w:val="18"/>
                <w:szCs w:val="18"/>
              </w:rPr>
              <w:t xml:space="preserve">. </w:t>
            </w:r>
            <w:r w:rsidR="00607B03" w:rsidRPr="00607B03">
              <w:rPr>
                <w:b/>
                <w:sz w:val="18"/>
                <w:szCs w:val="18"/>
              </w:rPr>
              <w:t>Prasību par līdzekļu, kas iegūti no apdrošināšanas un pārapdrošināšanas izplatīšanas, nošķiršanu, uzskaiti un rī</w:t>
            </w:r>
            <w:r w:rsidR="00286D6A">
              <w:rPr>
                <w:b/>
                <w:sz w:val="18"/>
                <w:szCs w:val="18"/>
              </w:rPr>
              <w:t>cību</w:t>
            </w:r>
            <w:r w:rsidR="00607B03" w:rsidRPr="00607B03">
              <w:rPr>
                <w:b/>
                <w:sz w:val="18"/>
                <w:szCs w:val="18"/>
              </w:rPr>
              <w:t xml:space="preserve"> ar tiem</w:t>
            </w:r>
            <w:r w:rsidR="009B71C0">
              <w:rPr>
                <w:b/>
                <w:sz w:val="18"/>
                <w:szCs w:val="18"/>
              </w:rPr>
              <w:t xml:space="preserve"> neievērošana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4B4474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DE078" w14:textId="4AB90C90" w:rsidR="006D1E6E" w:rsidRPr="006D1E6E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87A0C" w14:textId="77777777" w:rsidR="006D1E6E" w:rsidRDefault="00607B03" w:rsidP="00B86CE7">
            <w:pPr>
              <w:ind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11123703" w14:textId="77777777" w:rsidR="00607B03" w:rsidRDefault="00607B03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  <w:p w14:paraId="02D5337A" w14:textId="77777777" w:rsidR="00607B03" w:rsidRPr="00DD4199" w:rsidRDefault="00607B03" w:rsidP="00607B0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4199">
              <w:rPr>
                <w:b/>
                <w:bCs/>
                <w:sz w:val="18"/>
                <w:szCs w:val="18"/>
              </w:rPr>
              <w:t>Kritēriji:</w:t>
            </w:r>
          </w:p>
          <w:p w14:paraId="4BE93CA0" w14:textId="58BAF764" w:rsidR="00607B03" w:rsidRDefault="00607B03" w:rsidP="00607B03">
            <w:pPr>
              <w:ind w:hanging="19"/>
              <w:jc w:val="center"/>
              <w:rPr>
                <w:sz w:val="28"/>
                <w:szCs w:val="28"/>
              </w:rPr>
            </w:pPr>
            <w:r w:rsidRPr="00607B03">
              <w:rPr>
                <w:sz w:val="18"/>
                <w:szCs w:val="18"/>
              </w:rPr>
              <w:t>Tiek konstatēts iztrūkums</w:t>
            </w:r>
            <w:r w:rsidR="003C6604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308CC" w14:textId="77777777" w:rsidR="006D1E6E" w:rsidRDefault="00607B03" w:rsidP="00B86C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7AF51128" w14:textId="77777777" w:rsidR="00607B03" w:rsidRDefault="00607B03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26A01DA6" w14:textId="77777777" w:rsidR="00607B03" w:rsidRPr="00DD4199" w:rsidRDefault="00607B03" w:rsidP="00607B0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4199">
              <w:rPr>
                <w:b/>
                <w:bCs/>
                <w:sz w:val="18"/>
                <w:szCs w:val="18"/>
              </w:rPr>
              <w:t>Kritēriji:</w:t>
            </w:r>
          </w:p>
          <w:p w14:paraId="4DC7A895" w14:textId="5D875824" w:rsidR="00607B03" w:rsidRPr="008527D7" w:rsidRDefault="00607B03" w:rsidP="00607B03">
            <w:pPr>
              <w:ind w:firstLine="0"/>
              <w:jc w:val="center"/>
              <w:rPr>
                <w:sz w:val="28"/>
                <w:szCs w:val="28"/>
              </w:rPr>
            </w:pPr>
            <w:r w:rsidRPr="00607B03">
              <w:rPr>
                <w:sz w:val="18"/>
                <w:szCs w:val="18"/>
              </w:rPr>
              <w:t xml:space="preserve">Ir iztrūkums un pēc Komisijas pieprasījuma </w:t>
            </w:r>
            <w:r w:rsidR="00FA0DBA">
              <w:rPr>
                <w:sz w:val="18"/>
                <w:szCs w:val="18"/>
              </w:rPr>
              <w:t>s</w:t>
            </w:r>
            <w:r w:rsidRPr="00607B03">
              <w:rPr>
                <w:sz w:val="18"/>
                <w:szCs w:val="18"/>
              </w:rPr>
              <w:t xml:space="preserve">abiedrība nespēj </w:t>
            </w:r>
            <w:r w:rsidR="00810050">
              <w:rPr>
                <w:sz w:val="18"/>
                <w:szCs w:val="18"/>
              </w:rPr>
              <w:t>nodrošināt atsevišķajos naudas kontos līdzekļus</w:t>
            </w:r>
            <w:r w:rsidRPr="00607B03">
              <w:rPr>
                <w:sz w:val="18"/>
                <w:szCs w:val="18"/>
              </w:rPr>
              <w:t xml:space="preserve"> pilnā apmērā</w:t>
            </w:r>
            <w:r w:rsidR="00810050">
              <w:rPr>
                <w:sz w:val="18"/>
                <w:szCs w:val="18"/>
              </w:rPr>
              <w:t>, lai spētu nokārtot saistības</w:t>
            </w:r>
          </w:p>
        </w:tc>
      </w:tr>
      <w:tr w:rsidR="00607B03" w:rsidRPr="008527D7" w14:paraId="0117553D" w14:textId="77777777" w:rsidTr="0041176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F7C72" w14:textId="77777777" w:rsidR="00607B03" w:rsidRP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 xml:space="preserve">APIL 8.(1) 7. p. </w:t>
            </w:r>
          </w:p>
          <w:p w14:paraId="0925FB7B" w14:textId="77777777" w:rsidR="00607B03" w:rsidRP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28.(1) (2) (4) (5) (6) (9)</w:t>
            </w:r>
          </w:p>
          <w:p w14:paraId="739E0CA8" w14:textId="112D5DE6" w:rsidR="00607B03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sz w:val="18"/>
                <w:szCs w:val="18"/>
              </w:rPr>
              <w:t>APIL 29.(1) (3)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587275" w14:textId="524C0EE8" w:rsidR="00607B03" w:rsidRPr="00DD4199" w:rsidRDefault="00E13337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07B03">
              <w:rPr>
                <w:b/>
                <w:sz w:val="18"/>
                <w:szCs w:val="18"/>
              </w:rPr>
              <w:t xml:space="preserve">. </w:t>
            </w:r>
            <w:r w:rsidR="00607B03" w:rsidRPr="00607B03">
              <w:rPr>
                <w:b/>
                <w:sz w:val="18"/>
                <w:szCs w:val="18"/>
              </w:rPr>
              <w:t>APIL noteikto prasību civiltiesiskās atbildības apdrošināšanai neievērošana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BBBDD" w14:textId="77777777" w:rsidR="00607B03" w:rsidRPr="008527D7" w:rsidRDefault="00607B03" w:rsidP="00607B0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25953" w14:textId="4CDDAECC" w:rsidR="001A4E12" w:rsidRDefault="001A4E12" w:rsidP="001A4E12">
            <w:pPr>
              <w:ind w:hanging="19"/>
              <w:jc w:val="center"/>
              <w:rPr>
                <w:color w:val="000000" w:themeColor="text1"/>
                <w:sz w:val="28"/>
                <w:szCs w:val="28"/>
              </w:rPr>
            </w:pPr>
            <w:r w:rsidRPr="00E13337">
              <w:rPr>
                <w:color w:val="000000" w:themeColor="text1"/>
                <w:sz w:val="28"/>
                <w:szCs w:val="28"/>
              </w:rPr>
              <w:t>X</w:t>
            </w:r>
          </w:p>
          <w:p w14:paraId="6F87B13B" w14:textId="77777777" w:rsidR="00E13337" w:rsidRPr="008B33E7" w:rsidRDefault="00E13337" w:rsidP="001A4E12">
            <w:pPr>
              <w:ind w:hanging="19"/>
              <w:jc w:val="center"/>
              <w:rPr>
                <w:color w:val="000000" w:themeColor="text1"/>
              </w:rPr>
            </w:pPr>
          </w:p>
          <w:p w14:paraId="56F56A3F" w14:textId="77777777" w:rsidR="001A4E12" w:rsidRPr="00E13337" w:rsidRDefault="001A4E12" w:rsidP="001A4E12">
            <w:pPr>
              <w:ind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13337">
              <w:rPr>
                <w:b/>
                <w:bCs/>
                <w:color w:val="000000" w:themeColor="text1"/>
                <w:sz w:val="18"/>
                <w:szCs w:val="18"/>
              </w:rPr>
              <w:t>Kritēriji:</w:t>
            </w:r>
          </w:p>
          <w:p w14:paraId="6DD2BA17" w14:textId="1FF9D532" w:rsidR="00607B03" w:rsidRDefault="001A4E12" w:rsidP="001A4E1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13337">
              <w:rPr>
                <w:color w:val="000000" w:themeColor="text1"/>
                <w:sz w:val="18"/>
                <w:szCs w:val="18"/>
              </w:rPr>
              <w:t>Pirms pašriska iekļaušanas civiltiesiskās atbildības apdrošināšanas līgumā nav saņemta Komisijas atļauja un vienlaicīgi arī konstatēts, ka pašriska iekļaušana nebija iespējama vai nebija iespējama iekļautās pašriska summas apmērā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9B06C" w14:textId="77777777" w:rsidR="00607B03" w:rsidRDefault="00607B03" w:rsidP="00607B03">
            <w:pPr>
              <w:ind w:hanging="19"/>
              <w:jc w:val="center"/>
              <w:rPr>
                <w:sz w:val="28"/>
                <w:szCs w:val="28"/>
              </w:rPr>
            </w:pPr>
          </w:p>
          <w:p w14:paraId="4839F606" w14:textId="657F2584" w:rsidR="00607B03" w:rsidRPr="008527D7" w:rsidRDefault="00607B03" w:rsidP="00607B03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4647B" w14:textId="77777777" w:rsidR="00607B03" w:rsidRDefault="00607B03" w:rsidP="00607B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6FCF7901" w14:textId="77777777" w:rsidR="00607B03" w:rsidRPr="008B33E7" w:rsidRDefault="00607B03" w:rsidP="00607B03">
            <w:pPr>
              <w:ind w:firstLine="0"/>
              <w:jc w:val="center"/>
            </w:pPr>
          </w:p>
          <w:p w14:paraId="05620FA8" w14:textId="77777777" w:rsidR="00607B03" w:rsidRPr="00DD4199" w:rsidRDefault="00607B03" w:rsidP="00607B0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4199">
              <w:rPr>
                <w:b/>
                <w:bCs/>
                <w:sz w:val="18"/>
                <w:szCs w:val="18"/>
              </w:rPr>
              <w:t>Kritēriji:</w:t>
            </w:r>
          </w:p>
          <w:p w14:paraId="72A00CC8" w14:textId="7A8F401F" w:rsidR="00607B03" w:rsidRPr="003A0A91" w:rsidRDefault="003A0A91" w:rsidP="00607B03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E13337">
              <w:rPr>
                <w:color w:val="000000" w:themeColor="text1"/>
                <w:sz w:val="18"/>
                <w:szCs w:val="18"/>
              </w:rPr>
              <w:t xml:space="preserve">Komisijai nav iesniegts spēkā esošs civiltiesiskās atbildības apdrošināšanas līgums vai kredītiestādes izdota garantija </w:t>
            </w:r>
          </w:p>
        </w:tc>
      </w:tr>
      <w:tr w:rsidR="006D1E6E" w:rsidRPr="008527D7" w14:paraId="4219F6E5" w14:textId="77777777" w:rsidTr="00411769">
        <w:trPr>
          <w:trHeight w:val="27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4A1AA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33.</w:t>
            </w:r>
          </w:p>
          <w:p w14:paraId="669AC3A2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34.</w:t>
            </w:r>
          </w:p>
          <w:p w14:paraId="5A501CA1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35.</w:t>
            </w:r>
          </w:p>
          <w:p w14:paraId="4E673337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36.</w:t>
            </w:r>
          </w:p>
          <w:p w14:paraId="68249FF1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37.</w:t>
            </w:r>
          </w:p>
          <w:p w14:paraId="6018CE05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39.</w:t>
            </w:r>
          </w:p>
          <w:p w14:paraId="32A47E1E" w14:textId="77777777" w:rsidR="00607B03" w:rsidRPr="00607B03" w:rsidRDefault="00607B03" w:rsidP="00607B03">
            <w:pPr>
              <w:ind w:firstLine="0"/>
              <w:rPr>
                <w:b/>
                <w:noProof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lastRenderedPageBreak/>
              <w:t>APIL 40.</w:t>
            </w:r>
          </w:p>
          <w:p w14:paraId="772DACF2" w14:textId="6B8718BE" w:rsidR="006D1E6E" w:rsidRDefault="00607B03" w:rsidP="00607B0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07B03">
              <w:rPr>
                <w:b/>
                <w:noProof/>
                <w:sz w:val="18"/>
                <w:szCs w:val="18"/>
              </w:rPr>
              <w:t>APIL 41.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0AB10" w14:textId="2C4D453B" w:rsidR="006D1E6E" w:rsidRPr="00DD4199" w:rsidRDefault="00E13337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8</w:t>
            </w:r>
            <w:r w:rsidR="00DD4199">
              <w:rPr>
                <w:rFonts w:eastAsia="Calibri"/>
                <w:b/>
                <w:sz w:val="18"/>
                <w:szCs w:val="18"/>
              </w:rPr>
              <w:t xml:space="preserve">. </w:t>
            </w:r>
            <w:r w:rsidR="000F6072" w:rsidRPr="000F6072">
              <w:rPr>
                <w:rFonts w:eastAsia="Calibri"/>
                <w:b/>
                <w:sz w:val="18"/>
                <w:szCs w:val="18"/>
              </w:rPr>
              <w:t>Pārkāpumi, kas saistīti ar APIL prasību attiecībā uz apdrošināšanas produktu, izņemot apdrošināšanas ieguldījumu produktu, izplatīšanu neievērošan</w:t>
            </w:r>
            <w:r w:rsidR="009B71C0">
              <w:rPr>
                <w:rFonts w:eastAsia="Calibri"/>
                <w:b/>
                <w:sz w:val="18"/>
                <w:szCs w:val="18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BF6073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3FB3D" w14:textId="5453A936" w:rsidR="006D1E6E" w:rsidRDefault="000F6072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2A165F" w14:textId="3AC5E0F3" w:rsidR="006D1E6E" w:rsidRPr="008527D7" w:rsidRDefault="006D1E6E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911BB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17B28CB6" w14:textId="77777777" w:rsidTr="00444A3E">
        <w:trPr>
          <w:trHeight w:val="10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FF5D3" w14:textId="77777777" w:rsidR="000F6072" w:rsidRPr="000F6072" w:rsidRDefault="000F6072" w:rsidP="000F6072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0F6072">
              <w:rPr>
                <w:b/>
                <w:sz w:val="18"/>
                <w:szCs w:val="18"/>
              </w:rPr>
              <w:t>APIL 42.</w:t>
            </w:r>
          </w:p>
          <w:p w14:paraId="52168D7F" w14:textId="77777777" w:rsidR="000F6072" w:rsidRPr="000F6072" w:rsidRDefault="000F6072" w:rsidP="000F6072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0F6072">
              <w:rPr>
                <w:b/>
                <w:sz w:val="18"/>
                <w:szCs w:val="18"/>
              </w:rPr>
              <w:t>APIL 43.</w:t>
            </w:r>
          </w:p>
          <w:p w14:paraId="691752B4" w14:textId="463F2611" w:rsidR="006D1E6E" w:rsidRDefault="000F6072" w:rsidP="000F6072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0F6072">
              <w:rPr>
                <w:b/>
                <w:sz w:val="18"/>
                <w:szCs w:val="18"/>
              </w:rPr>
              <w:t>APIL 44.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CA52C" w14:textId="76DE2B80" w:rsidR="006D1E6E" w:rsidRPr="00DD4199" w:rsidRDefault="00E13337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D4199">
              <w:rPr>
                <w:b/>
                <w:sz w:val="18"/>
                <w:szCs w:val="18"/>
              </w:rPr>
              <w:t xml:space="preserve">. </w:t>
            </w:r>
            <w:r w:rsidR="000F6072" w:rsidRPr="000F6072">
              <w:rPr>
                <w:b/>
                <w:sz w:val="18"/>
                <w:szCs w:val="18"/>
              </w:rPr>
              <w:t>Pārkāpumi, kas saistīti ar APIL prasību attiecībā uz apdrošināšanas ieguldījumu produkt</w:t>
            </w:r>
            <w:r w:rsidR="00286D6A">
              <w:rPr>
                <w:b/>
                <w:sz w:val="18"/>
                <w:szCs w:val="18"/>
              </w:rPr>
              <w:t>u</w:t>
            </w:r>
            <w:r w:rsidR="000F6072" w:rsidRPr="000F6072">
              <w:rPr>
                <w:b/>
                <w:sz w:val="18"/>
                <w:szCs w:val="18"/>
              </w:rPr>
              <w:t xml:space="preserve"> izplatīšanu neievērošan</w:t>
            </w:r>
            <w:r w:rsidR="009B71C0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96466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D679C" w14:textId="4C10AAAC" w:rsidR="006D1E6E" w:rsidRDefault="000F6072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C9B3F" w14:textId="10987A68" w:rsidR="006D1E6E" w:rsidRPr="008527D7" w:rsidRDefault="006D1E6E" w:rsidP="006D1E6E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95FB" w14:textId="36706326" w:rsidR="00DD4199" w:rsidRPr="008527D7" w:rsidRDefault="00DD4199" w:rsidP="00DD419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828E3" w:rsidRPr="008527D7" w14:paraId="7547CC89" w14:textId="77777777" w:rsidTr="0041176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6480" w14:textId="0C92F114" w:rsidR="00C828E3" w:rsidRPr="000F6072" w:rsidRDefault="000F6072" w:rsidP="00C828E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0F6072">
              <w:rPr>
                <w:b/>
                <w:sz w:val="18"/>
                <w:szCs w:val="18"/>
              </w:rPr>
              <w:t>Regulas Nr.</w:t>
            </w:r>
            <w:r w:rsidR="00286D6A">
              <w:rPr>
                <w:b/>
                <w:sz w:val="18"/>
                <w:szCs w:val="18"/>
              </w:rPr>
              <w:t> </w:t>
            </w:r>
            <w:r w:rsidR="001A4E12" w:rsidRPr="002544B9">
              <w:rPr>
                <w:b/>
                <w:sz w:val="18"/>
                <w:szCs w:val="18"/>
              </w:rPr>
              <w:t>1286/2014</w:t>
            </w:r>
            <w:r w:rsidR="001A4E12">
              <w:rPr>
                <w:rStyle w:val="FootnoteReference"/>
                <w:b/>
                <w:sz w:val="18"/>
                <w:szCs w:val="18"/>
              </w:rPr>
              <w:footnoteReference w:id="3"/>
            </w:r>
            <w:r w:rsidR="001A4E12" w:rsidRPr="002544B9">
              <w:rPr>
                <w:b/>
                <w:sz w:val="18"/>
                <w:szCs w:val="18"/>
              </w:rPr>
              <w:t xml:space="preserve"> </w:t>
            </w:r>
            <w:r w:rsidRPr="000F6072">
              <w:rPr>
                <w:b/>
                <w:sz w:val="18"/>
                <w:szCs w:val="18"/>
              </w:rPr>
              <w:t>24.</w:t>
            </w:r>
            <w:r w:rsidR="00286D6A">
              <w:rPr>
                <w:b/>
                <w:sz w:val="18"/>
                <w:szCs w:val="18"/>
              </w:rPr>
              <w:t> </w:t>
            </w:r>
            <w:r w:rsidRPr="000F6072">
              <w:rPr>
                <w:b/>
                <w:sz w:val="18"/>
                <w:szCs w:val="18"/>
              </w:rPr>
              <w:t>pantā minētie pārkāpumi (Regulas Nr.</w:t>
            </w:r>
            <w:r w:rsidR="00286D6A">
              <w:rPr>
                <w:b/>
                <w:sz w:val="18"/>
                <w:szCs w:val="18"/>
              </w:rPr>
              <w:t> </w:t>
            </w:r>
            <w:r w:rsidRPr="000F6072">
              <w:rPr>
                <w:b/>
                <w:sz w:val="18"/>
                <w:szCs w:val="18"/>
              </w:rPr>
              <w:t>1286/2014 5. panta 1. punkta, 6. un 7. panta, 8.</w:t>
            </w:r>
            <w:r w:rsidR="009B71C0">
              <w:rPr>
                <w:b/>
                <w:sz w:val="18"/>
                <w:szCs w:val="18"/>
              </w:rPr>
              <w:t> </w:t>
            </w:r>
            <w:r w:rsidRPr="000F6072">
              <w:rPr>
                <w:b/>
                <w:sz w:val="18"/>
                <w:szCs w:val="18"/>
              </w:rPr>
              <w:t>panta 1. līdz 3.</w:t>
            </w:r>
            <w:r w:rsidR="009B71C0">
              <w:rPr>
                <w:b/>
                <w:sz w:val="18"/>
                <w:szCs w:val="18"/>
              </w:rPr>
              <w:t> </w:t>
            </w:r>
            <w:r w:rsidRPr="000F6072">
              <w:rPr>
                <w:b/>
                <w:sz w:val="18"/>
                <w:szCs w:val="18"/>
              </w:rPr>
              <w:t>punkta, 9. panta, 10. panta 1.</w:t>
            </w:r>
            <w:r w:rsidR="009B71C0">
              <w:rPr>
                <w:b/>
                <w:sz w:val="18"/>
                <w:szCs w:val="18"/>
              </w:rPr>
              <w:t> </w:t>
            </w:r>
            <w:r w:rsidRPr="000F6072">
              <w:rPr>
                <w:b/>
                <w:sz w:val="18"/>
                <w:szCs w:val="18"/>
              </w:rPr>
              <w:t>punkta, 13.</w:t>
            </w:r>
            <w:r w:rsidR="009B71C0">
              <w:rPr>
                <w:b/>
                <w:sz w:val="18"/>
                <w:szCs w:val="18"/>
              </w:rPr>
              <w:t> </w:t>
            </w:r>
            <w:r w:rsidRPr="000F6072">
              <w:rPr>
                <w:b/>
                <w:sz w:val="18"/>
                <w:szCs w:val="18"/>
              </w:rPr>
              <w:t>panta 1., 3. un 4. punkta un 14. un 19. panta prasības)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2A69C0" w14:textId="0D4FE3AA" w:rsidR="00C828E3" w:rsidRDefault="00E13337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828E3">
              <w:rPr>
                <w:b/>
                <w:sz w:val="18"/>
                <w:szCs w:val="18"/>
              </w:rPr>
              <w:t xml:space="preserve">. </w:t>
            </w:r>
            <w:r w:rsidR="000F6072" w:rsidRPr="000F6072">
              <w:rPr>
                <w:b/>
                <w:sz w:val="18"/>
                <w:szCs w:val="18"/>
              </w:rPr>
              <w:t>Regulas Nr. 1286/2014 prasību neievērošana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27D047" w14:textId="77777777" w:rsidR="00C828E3" w:rsidRPr="008527D7" w:rsidRDefault="00C828E3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6E125A" w14:textId="65F04C3C" w:rsidR="00C828E3" w:rsidRPr="00C828E3" w:rsidRDefault="00C828E3" w:rsidP="00B86CE7">
            <w:pPr>
              <w:ind w:firstLine="0"/>
              <w:jc w:val="center"/>
              <w:rPr>
                <w:sz w:val="28"/>
                <w:szCs w:val="28"/>
              </w:rPr>
            </w:pPr>
            <w:r w:rsidRPr="00C828E3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C2E961" w14:textId="77777777" w:rsidR="00C828E3" w:rsidRDefault="00C828E3" w:rsidP="00B86CE7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FEA2D" w14:textId="77777777" w:rsidR="00C828E3" w:rsidRDefault="00C828E3" w:rsidP="00DD419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1E6E" w:rsidRPr="008527D7" w14:paraId="32DD1146" w14:textId="77777777" w:rsidTr="00411769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8AF" w14:textId="1014851A" w:rsidR="006D1E6E" w:rsidRPr="00A901B7" w:rsidRDefault="006D1E6E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B602F" w14:textId="7C374821" w:rsidR="006D1E6E" w:rsidRPr="00A901B7" w:rsidRDefault="00007340" w:rsidP="00B86CE7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6072">
              <w:rPr>
                <w:b/>
                <w:sz w:val="18"/>
                <w:szCs w:val="18"/>
              </w:rPr>
              <w:t>1</w:t>
            </w:r>
            <w:r w:rsidR="000C38D5">
              <w:rPr>
                <w:b/>
                <w:sz w:val="18"/>
                <w:szCs w:val="18"/>
              </w:rPr>
              <w:t xml:space="preserve">. </w:t>
            </w:r>
            <w:r w:rsidR="000F6072" w:rsidRPr="000F6072">
              <w:rPr>
                <w:b/>
                <w:sz w:val="18"/>
                <w:szCs w:val="18"/>
              </w:rPr>
              <w:t>Pārkāpumi, kas saistīti ar iepriekš neuzskaitīto (citu) APIL noteikto prasību un</w:t>
            </w:r>
            <w:r w:rsidR="00286D6A">
              <w:rPr>
                <w:b/>
                <w:sz w:val="18"/>
                <w:szCs w:val="18"/>
              </w:rPr>
              <w:t>,</w:t>
            </w:r>
            <w:r w:rsidR="000F6072" w:rsidRPr="000F6072">
              <w:rPr>
                <w:b/>
                <w:sz w:val="18"/>
                <w:szCs w:val="18"/>
              </w:rPr>
              <w:t xml:space="preserve"> pamatojoties uz APIL</w:t>
            </w:r>
            <w:r w:rsidR="00286D6A">
              <w:rPr>
                <w:b/>
                <w:sz w:val="18"/>
                <w:szCs w:val="18"/>
              </w:rPr>
              <w:t>,</w:t>
            </w:r>
            <w:r w:rsidR="000F6072" w:rsidRPr="000F6072">
              <w:rPr>
                <w:b/>
                <w:sz w:val="18"/>
                <w:szCs w:val="18"/>
              </w:rPr>
              <w:t xml:space="preserve"> izdoto normatīvo aktu vai Eiropas Savienības tieši piemērojamo tiesību aktu</w:t>
            </w:r>
            <w:r w:rsidR="000F6072">
              <w:rPr>
                <w:rStyle w:val="FootnoteReference"/>
                <w:b/>
                <w:noProof/>
                <w:sz w:val="16"/>
                <w:szCs w:val="16"/>
              </w:rPr>
              <w:footnoteReference w:id="4"/>
            </w:r>
            <w:r w:rsidR="00286D6A">
              <w:rPr>
                <w:b/>
                <w:sz w:val="18"/>
                <w:szCs w:val="18"/>
                <w:vertAlign w:val="superscript"/>
              </w:rPr>
              <w:t>,</w:t>
            </w:r>
            <w:r w:rsidR="000F6072">
              <w:rPr>
                <w:rStyle w:val="FootnoteReference"/>
                <w:b/>
                <w:noProof/>
                <w:sz w:val="16"/>
                <w:szCs w:val="16"/>
              </w:rPr>
              <w:footnoteReference w:id="5"/>
            </w:r>
            <w:r w:rsidR="00286D6A">
              <w:rPr>
                <w:b/>
                <w:sz w:val="18"/>
                <w:szCs w:val="18"/>
                <w:vertAlign w:val="superscript"/>
              </w:rPr>
              <w:t>,</w:t>
            </w:r>
            <w:r w:rsidR="000F6072">
              <w:rPr>
                <w:rStyle w:val="FootnoteReference"/>
                <w:b/>
                <w:noProof/>
                <w:sz w:val="16"/>
                <w:szCs w:val="16"/>
              </w:rPr>
              <w:footnoteReference w:id="6"/>
            </w:r>
            <w:r w:rsidR="000F6072" w:rsidRPr="001A3DF4">
              <w:rPr>
                <w:b/>
                <w:noProof/>
                <w:sz w:val="16"/>
                <w:szCs w:val="16"/>
              </w:rPr>
              <w:t xml:space="preserve"> </w:t>
            </w:r>
            <w:r w:rsidR="000F6072" w:rsidRPr="000F6072">
              <w:rPr>
                <w:b/>
                <w:sz w:val="18"/>
                <w:szCs w:val="18"/>
              </w:rPr>
              <w:t>prasību apdrošināšanas vai pārapdrošināšanas izplatīšanas jomā neievērošanu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9DCE" w14:textId="77777777" w:rsidR="006D1E6E" w:rsidRPr="008527D7" w:rsidRDefault="006D1E6E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39A30" w14:textId="77777777" w:rsidR="006D1E6E" w:rsidRPr="00007340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  <w:r w:rsidRPr="00007340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EFFAC" w14:textId="77777777" w:rsidR="006D1E6E" w:rsidRPr="008527D7" w:rsidRDefault="006D1E6E" w:rsidP="00B86CE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35A54" w14:textId="77777777" w:rsidR="006D1E6E" w:rsidRPr="008527D7" w:rsidRDefault="006D1E6E" w:rsidP="00B86C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652C7C0" w14:textId="77777777" w:rsidR="006D1E6E" w:rsidRDefault="006D1E6E" w:rsidP="00444A3E">
      <w:pPr>
        <w:ind w:firstLine="0"/>
      </w:pPr>
    </w:p>
    <w:sectPr w:rsidR="006D1E6E" w:rsidSect="000D0E7D">
      <w:headerReference w:type="default" r:id="rId7"/>
      <w:footerReference w:type="default" r:id="rId8"/>
      <w:pgSz w:w="15840" w:h="12240" w:orient="landscape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02DB" w14:textId="77777777" w:rsidR="00804B6F" w:rsidRDefault="00804B6F" w:rsidP="006D1E6E">
      <w:r>
        <w:separator/>
      </w:r>
    </w:p>
  </w:endnote>
  <w:endnote w:type="continuationSeparator" w:id="0">
    <w:p w14:paraId="1E0858BC" w14:textId="77777777" w:rsidR="00804B6F" w:rsidRDefault="00804B6F" w:rsidP="006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384" w14:textId="12A5017A" w:rsidR="000F6072" w:rsidRDefault="000F6072">
    <w:pPr>
      <w:pStyle w:val="Footer"/>
      <w:jc w:val="center"/>
    </w:pPr>
  </w:p>
  <w:p w14:paraId="0AD337BB" w14:textId="77777777" w:rsidR="000F6072" w:rsidRDefault="000F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5C5" w14:textId="77777777" w:rsidR="00804B6F" w:rsidRDefault="00804B6F" w:rsidP="006D1E6E">
      <w:r>
        <w:separator/>
      </w:r>
    </w:p>
  </w:footnote>
  <w:footnote w:type="continuationSeparator" w:id="0">
    <w:p w14:paraId="7AE37437" w14:textId="77777777" w:rsidR="00804B6F" w:rsidRDefault="00804B6F" w:rsidP="006D1E6E">
      <w:r>
        <w:continuationSeparator/>
      </w:r>
    </w:p>
  </w:footnote>
  <w:footnote w:id="1">
    <w:p w14:paraId="7E63CF1D" w14:textId="118AAA9F" w:rsidR="000F6072" w:rsidRPr="000F6072" w:rsidRDefault="000F6072" w:rsidP="000D0E7D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Apdrošināšanas un pārapdrošināšanas izplatīšanas likums</w:t>
      </w:r>
      <w:r w:rsidR="00286D6A">
        <w:t>.</w:t>
      </w:r>
    </w:p>
  </w:footnote>
  <w:footnote w:id="2">
    <w:p w14:paraId="17B1AA32" w14:textId="5496E9AA" w:rsidR="003C6604" w:rsidRPr="003C6604" w:rsidRDefault="003C6604" w:rsidP="000D0E7D">
      <w:pPr>
        <w:pStyle w:val="FootnoteText"/>
        <w:ind w:firstLine="0"/>
        <w:rPr>
          <w:noProof/>
          <w:lang w:val="en-U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>
        <w:rPr>
          <w:noProof/>
        </w:rPr>
        <w:t xml:space="preserve">Iztrūkums – naudas līdzekļu </w:t>
      </w:r>
      <w:r w:rsidR="00125475">
        <w:rPr>
          <w:noProof/>
        </w:rPr>
        <w:t xml:space="preserve">nepietiekamība </w:t>
      </w:r>
      <w:r>
        <w:rPr>
          <w:noProof/>
        </w:rPr>
        <w:t xml:space="preserve">atsevišķajos naudas kontos, lai </w:t>
      </w:r>
      <w:r w:rsidR="00EF7A8B">
        <w:rPr>
          <w:noProof/>
        </w:rPr>
        <w:t>spētu nokārtot</w:t>
      </w:r>
      <w:r>
        <w:rPr>
          <w:noProof/>
        </w:rPr>
        <w:t xml:space="preserve"> saistības pret </w:t>
      </w:r>
      <w:r w:rsidR="00E13337" w:rsidRPr="00E13337">
        <w:rPr>
          <w:noProof/>
        </w:rPr>
        <w:t>apdrošināšanas un pārapdrošināšanas komersantiem, ārvalsts apdrošinātāju filiālēm, ārvalsts pārapdrošinātāju filiālēm, apdrošinājuma ņēmējiem un pārapdrošinājuma ņēmējiem</w:t>
      </w:r>
      <w:r w:rsidR="00E13337">
        <w:rPr>
          <w:noProof/>
        </w:rPr>
        <w:t xml:space="preserve"> </w:t>
      </w:r>
      <w:r>
        <w:rPr>
          <w:noProof/>
        </w:rPr>
        <w:t>par saņemtajām apdrošināšanas un pārapdrošināšanas prēmijām atbilstoši APIL 31.</w:t>
      </w:r>
      <w:r w:rsidR="00EF7A8B">
        <w:rPr>
          <w:noProof/>
        </w:rPr>
        <w:t> </w:t>
      </w:r>
      <w:r>
        <w:rPr>
          <w:noProof/>
        </w:rPr>
        <w:t>panta otrajā daļā noteiktajam</w:t>
      </w:r>
      <w:r w:rsidR="00286D6A">
        <w:rPr>
          <w:noProof/>
        </w:rPr>
        <w:t>.</w:t>
      </w:r>
    </w:p>
  </w:footnote>
  <w:footnote w:id="3">
    <w:p w14:paraId="54D09CC6" w14:textId="5255626E" w:rsidR="001A4E12" w:rsidRPr="003977D5" w:rsidRDefault="001A4E12" w:rsidP="000D0E7D">
      <w:pPr>
        <w:pStyle w:val="FootnoteText"/>
        <w:ind w:firstLine="0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712119">
        <w:rPr>
          <w:rFonts w:eastAsiaTheme="minorHAnsi"/>
          <w:noProof/>
          <w:lang w:eastAsia="en-US"/>
        </w:rPr>
        <w:t>Regula (ES) Nr. 1286/2014 (2014. gada 26. novembris) par komplektētu privāto ieguldījumu un apdrošināšanas ieguldījumu produktu (</w:t>
      </w:r>
      <w:r w:rsidRPr="000D0E7D">
        <w:rPr>
          <w:rFonts w:eastAsiaTheme="minorHAnsi"/>
          <w:i/>
          <w:iCs/>
          <w:noProof/>
          <w:lang w:eastAsia="en-US"/>
        </w:rPr>
        <w:t>PRIIP</w:t>
      </w:r>
      <w:r w:rsidRPr="00712119">
        <w:rPr>
          <w:rFonts w:eastAsiaTheme="minorHAnsi"/>
          <w:noProof/>
          <w:lang w:eastAsia="en-US"/>
        </w:rPr>
        <w:t>) pamatinformācijas dokumentiem</w:t>
      </w:r>
      <w:r w:rsidR="00286D6A">
        <w:rPr>
          <w:rFonts w:eastAsiaTheme="minorHAnsi"/>
          <w:noProof/>
          <w:lang w:eastAsia="en-US"/>
        </w:rPr>
        <w:t>.</w:t>
      </w:r>
    </w:p>
  </w:footnote>
  <w:footnote w:id="4">
    <w:p w14:paraId="0544861C" w14:textId="3CE86444" w:rsidR="000F6072" w:rsidRPr="000F6072" w:rsidRDefault="000F6072" w:rsidP="000D0E7D">
      <w:pPr>
        <w:pStyle w:val="FootnoteText"/>
        <w:ind w:firstLine="0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D90E82">
        <w:rPr>
          <w:noProof/>
        </w:rPr>
        <w:t>Deleģētā regula (ES) 2017/2358 (2017. gada 21. septembris), ar ko Eiropas Parlamenta un Padomes Direktīvu (ES) 2016/97 papildina attiecībā uz produktu pārraudzības un pārvaldības prasībām apdrošināšanas sabiedrībām un apdrošināšanas izplatītājiem</w:t>
      </w:r>
      <w:r w:rsidR="00286D6A">
        <w:rPr>
          <w:noProof/>
        </w:rPr>
        <w:t>.</w:t>
      </w:r>
    </w:p>
  </w:footnote>
  <w:footnote w:id="5">
    <w:p w14:paraId="30D9A2A2" w14:textId="3A5B5F5E" w:rsidR="000F6072" w:rsidRPr="000F6072" w:rsidRDefault="000F6072" w:rsidP="000D0E7D">
      <w:pPr>
        <w:pStyle w:val="FootnoteText"/>
        <w:ind w:firstLine="0"/>
        <w:rPr>
          <w:noProof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D90E82">
        <w:rPr>
          <w:noProof/>
        </w:rPr>
        <w:t>Deleģētā regula (ES) 2017/2359 (2017. gada 21. septembris), ar ko Eiropas Parlamenta un Padomes Direktīvu (ES) 2016/97 papildina attiecībā uz informācijas prasībām un darījumdarbības veikšanas noteikumiem, kas piemērojami apdrošināšanas ieguldījumu produktu izplatīšanai</w:t>
      </w:r>
      <w:r w:rsidR="00286D6A">
        <w:rPr>
          <w:noProof/>
        </w:rPr>
        <w:t>.</w:t>
      </w:r>
    </w:p>
  </w:footnote>
  <w:footnote w:id="6">
    <w:p w14:paraId="2840FF1D" w14:textId="5E666ABE" w:rsidR="000F6072" w:rsidRPr="00DF0F31" w:rsidRDefault="000F6072" w:rsidP="000D0E7D">
      <w:pPr>
        <w:pStyle w:val="FootnoteText"/>
        <w:ind w:firstLine="0"/>
        <w:rPr>
          <w:noProof/>
          <w:lang w:val="en-US"/>
        </w:rPr>
      </w:pPr>
      <w:r>
        <w:rPr>
          <w:rStyle w:val="FootnoteReference"/>
          <w:noProof/>
        </w:rPr>
        <w:footnoteRef/>
      </w:r>
      <w:r>
        <w:rPr>
          <w:noProof/>
        </w:rPr>
        <w:t xml:space="preserve"> </w:t>
      </w:r>
      <w:r w:rsidRPr="00DF0F31">
        <w:rPr>
          <w:noProof/>
          <w:shd w:val="clear" w:color="auto" w:fill="FFFFFF"/>
        </w:rPr>
        <w:t>Regula (ES) 2019/2088 (2019. gada 27. novembris) par informācijas atklāšanu, kas saistīta ar ilgtspēju, finanšu pakalpojumu nozarē</w:t>
      </w:r>
      <w:r w:rsidR="00286D6A">
        <w:rPr>
          <w:noProof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15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283869" w14:textId="6428FF07" w:rsidR="00450002" w:rsidRDefault="00450002" w:rsidP="000D0E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EBE42" w14:textId="77777777" w:rsidR="00450002" w:rsidRDefault="00450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6E"/>
    <w:rsid w:val="00001F64"/>
    <w:rsid w:val="00007340"/>
    <w:rsid w:val="00025B51"/>
    <w:rsid w:val="00030504"/>
    <w:rsid w:val="000A1151"/>
    <w:rsid w:val="000B374F"/>
    <w:rsid w:val="000C38D5"/>
    <w:rsid w:val="000C68DC"/>
    <w:rsid w:val="000D0854"/>
    <w:rsid w:val="000D0E7D"/>
    <w:rsid w:val="000F6072"/>
    <w:rsid w:val="00125475"/>
    <w:rsid w:val="00163ACC"/>
    <w:rsid w:val="00166F87"/>
    <w:rsid w:val="001729BB"/>
    <w:rsid w:val="001A4E12"/>
    <w:rsid w:val="002544B9"/>
    <w:rsid w:val="00286D6A"/>
    <w:rsid w:val="002B0978"/>
    <w:rsid w:val="003150CA"/>
    <w:rsid w:val="00340986"/>
    <w:rsid w:val="003977D5"/>
    <w:rsid w:val="003A0A91"/>
    <w:rsid w:val="003C6604"/>
    <w:rsid w:val="003E4E6B"/>
    <w:rsid w:val="00410E5B"/>
    <w:rsid w:val="00411769"/>
    <w:rsid w:val="00437AC1"/>
    <w:rsid w:val="00444A3E"/>
    <w:rsid w:val="00450002"/>
    <w:rsid w:val="004D29C1"/>
    <w:rsid w:val="004D4CC8"/>
    <w:rsid w:val="005978DF"/>
    <w:rsid w:val="005E4BC6"/>
    <w:rsid w:val="00607B03"/>
    <w:rsid w:val="00663947"/>
    <w:rsid w:val="006D1E6E"/>
    <w:rsid w:val="00804B6F"/>
    <w:rsid w:val="00810050"/>
    <w:rsid w:val="00887466"/>
    <w:rsid w:val="008B33E7"/>
    <w:rsid w:val="008C397E"/>
    <w:rsid w:val="00952567"/>
    <w:rsid w:val="00976260"/>
    <w:rsid w:val="0099504E"/>
    <w:rsid w:val="009A7831"/>
    <w:rsid w:val="009B71C0"/>
    <w:rsid w:val="00A041B9"/>
    <w:rsid w:val="00A2181C"/>
    <w:rsid w:val="00AD2B8C"/>
    <w:rsid w:val="00AE6E03"/>
    <w:rsid w:val="00AF7B24"/>
    <w:rsid w:val="00B32A6D"/>
    <w:rsid w:val="00B36003"/>
    <w:rsid w:val="00B72C3B"/>
    <w:rsid w:val="00B94A95"/>
    <w:rsid w:val="00C828E3"/>
    <w:rsid w:val="00C85D96"/>
    <w:rsid w:val="00C94C51"/>
    <w:rsid w:val="00D779CB"/>
    <w:rsid w:val="00DD4199"/>
    <w:rsid w:val="00DF36EF"/>
    <w:rsid w:val="00E13337"/>
    <w:rsid w:val="00ED51CB"/>
    <w:rsid w:val="00EE6B76"/>
    <w:rsid w:val="00EF7A8B"/>
    <w:rsid w:val="00F3369D"/>
    <w:rsid w:val="00FA0DB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58045"/>
  <w15:chartTrackingRefBased/>
  <w15:docId w15:val="{55C23E37-FC47-40A8-BC18-DA08A0D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semiHidden/>
    <w:rsid w:val="006D1E6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6D1E6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D1E6E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uiPriority w:val="99"/>
    <w:semiHidden/>
    <w:rsid w:val="006D1E6E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E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E6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semiHidden/>
    <w:unhideWhenUsed/>
    <w:rsid w:val="006D1E6E"/>
    <w:rPr>
      <w:vertAlign w:val="superscript"/>
    </w:rPr>
  </w:style>
  <w:style w:type="character" w:customStyle="1" w:styleId="normaltextrun">
    <w:name w:val="normaltextrun"/>
    <w:basedOn w:val="DefaultParagraphFont"/>
    <w:rsid w:val="006D1E6E"/>
  </w:style>
  <w:style w:type="paragraph" w:styleId="ListParagraph">
    <w:name w:val="List Paragraph"/>
    <w:basedOn w:val="Normal"/>
    <w:uiPriority w:val="34"/>
    <w:qFormat/>
    <w:rsid w:val="00DD41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199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419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F6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7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F6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7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1A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DFA1-3E42-4BE3-88C8-B4B26D21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2059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Lenss</dc:creator>
  <cp:keywords/>
  <dc:description/>
  <cp:lastModifiedBy>Linda Egle</cp:lastModifiedBy>
  <cp:revision>3</cp:revision>
  <dcterms:created xsi:type="dcterms:W3CDTF">2022-06-20T03:40:00Z</dcterms:created>
  <dcterms:modified xsi:type="dcterms:W3CDTF">2022-07-05T08:31:00Z</dcterms:modified>
</cp:coreProperties>
</file>