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C24B" w14:textId="77E880F9" w:rsidR="006D1E6E" w:rsidRDefault="007D4AFA" w:rsidP="006D1E6E">
      <w:pPr>
        <w:ind w:firstLine="0"/>
        <w:jc w:val="right"/>
      </w:pPr>
      <w:r>
        <w:t>2. p</w:t>
      </w:r>
      <w:r w:rsidR="006D1E6E">
        <w:t>ielikums</w:t>
      </w:r>
    </w:p>
    <w:p w14:paraId="3A917DAE" w14:textId="47A02839" w:rsidR="006D1E6E" w:rsidRDefault="006D1E6E" w:rsidP="006D1E6E">
      <w:pPr>
        <w:ind w:firstLine="0"/>
        <w:jc w:val="right"/>
      </w:pPr>
      <w:r>
        <w:t xml:space="preserve">Finanšu un kapitāla tirgus komisijas </w:t>
      </w:r>
      <w:r w:rsidR="001235A8">
        <w:t>05</w:t>
      </w:r>
      <w:r>
        <w:t>.</w:t>
      </w:r>
      <w:r w:rsidR="001235A8">
        <w:t>07</w:t>
      </w:r>
      <w:r>
        <w:t>.</w:t>
      </w:r>
      <w:r w:rsidR="001235A8">
        <w:t>2022</w:t>
      </w:r>
      <w:r>
        <w:t>.</w:t>
      </w:r>
    </w:p>
    <w:p w14:paraId="7A8F4C28" w14:textId="0F95A53F" w:rsidR="006D1E6E" w:rsidRPr="00C1087C" w:rsidRDefault="007D4AFA" w:rsidP="006D1E6E">
      <w:pPr>
        <w:ind w:firstLine="0"/>
        <w:jc w:val="right"/>
      </w:pPr>
      <w:r>
        <w:t>i</w:t>
      </w:r>
      <w:r w:rsidR="006D1E6E">
        <w:t>eteikumiem  Nr.</w:t>
      </w:r>
      <w:r w:rsidR="001235A8">
        <w:t xml:space="preserve"> 120 </w:t>
      </w:r>
    </w:p>
    <w:p w14:paraId="7099671C" w14:textId="77777777" w:rsidR="007D4AFA" w:rsidRDefault="007D4AFA" w:rsidP="006D1E6E">
      <w:pPr>
        <w:ind w:firstLine="0"/>
        <w:jc w:val="center"/>
        <w:rPr>
          <w:b/>
        </w:rPr>
      </w:pPr>
    </w:p>
    <w:p w14:paraId="66699377" w14:textId="09C5494B" w:rsidR="006D1E6E" w:rsidRPr="00E81C2C" w:rsidRDefault="006D1E6E" w:rsidP="006D1E6E">
      <w:pPr>
        <w:ind w:firstLine="0"/>
        <w:jc w:val="center"/>
        <w:rPr>
          <w:b/>
        </w:rPr>
      </w:pPr>
      <w:r w:rsidRPr="00E81C2C">
        <w:rPr>
          <w:b/>
        </w:rPr>
        <w:t>Kredītiestād</w:t>
      </w:r>
      <w:r>
        <w:rPr>
          <w:b/>
        </w:rPr>
        <w:t>ei</w:t>
      </w:r>
      <w:r w:rsidRPr="00E81C2C">
        <w:rPr>
          <w:b/>
        </w:rPr>
        <w:t xml:space="preserve"> piemērojamās sankcijas</w:t>
      </w:r>
    </w:p>
    <w:p w14:paraId="472F645C" w14:textId="002A001B" w:rsidR="006D1E6E" w:rsidRDefault="006D1E6E"/>
    <w:tbl>
      <w:tblPr>
        <w:tblW w:w="13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711"/>
        <w:gridCol w:w="2409"/>
        <w:gridCol w:w="2410"/>
        <w:gridCol w:w="2410"/>
        <w:gridCol w:w="2410"/>
        <w:gridCol w:w="2409"/>
      </w:tblGrid>
      <w:tr w:rsidR="006D1E6E" w:rsidRPr="008527D7" w14:paraId="619A30CF" w14:textId="77777777" w:rsidTr="00DD4199">
        <w:trPr>
          <w:trHeight w:val="1262"/>
        </w:trPr>
        <w:tc>
          <w:tcPr>
            <w:tcW w:w="1717" w:type="dxa"/>
            <w:gridSpan w:val="2"/>
            <w:tcBorders>
              <w:top w:val="single" w:sz="4" w:space="0" w:color="auto"/>
              <w:left w:val="single" w:sz="4" w:space="0" w:color="auto"/>
              <w:bottom w:val="single" w:sz="4" w:space="0" w:color="auto"/>
            </w:tcBorders>
          </w:tcPr>
          <w:p w14:paraId="546205E0" w14:textId="421C0CEC" w:rsidR="006D1E6E" w:rsidRPr="00C77F1D" w:rsidRDefault="00C77F1D" w:rsidP="008A7857">
            <w:pPr>
              <w:ind w:firstLine="0"/>
              <w:jc w:val="center"/>
              <w:rPr>
                <w:b/>
                <w:sz w:val="18"/>
                <w:szCs w:val="18"/>
              </w:rPr>
            </w:pPr>
            <w:r w:rsidRPr="00265C22">
              <w:rPr>
                <w:b/>
                <w:sz w:val="20"/>
                <w:szCs w:val="20"/>
              </w:rPr>
              <w:t>Atsauce uz normatīvajiem aktiem</w:t>
            </w:r>
          </w:p>
        </w:tc>
        <w:tc>
          <w:tcPr>
            <w:tcW w:w="2409" w:type="dxa"/>
            <w:tcBorders>
              <w:top w:val="single" w:sz="4" w:space="0" w:color="auto"/>
              <w:bottom w:val="single" w:sz="4" w:space="0" w:color="auto"/>
            </w:tcBorders>
          </w:tcPr>
          <w:p w14:paraId="4F8853BE" w14:textId="77777777" w:rsidR="006D1E6E" w:rsidRDefault="006D1E6E" w:rsidP="00B86CE7">
            <w:pPr>
              <w:ind w:firstLine="0"/>
              <w:jc w:val="center"/>
              <w:rPr>
                <w:b/>
                <w:sz w:val="18"/>
                <w:szCs w:val="18"/>
              </w:rPr>
            </w:pPr>
            <w:r w:rsidRPr="00AB2A6A">
              <w:rPr>
                <w:b/>
                <w:bCs/>
                <w:sz w:val="20"/>
                <w:szCs w:val="20"/>
              </w:rPr>
              <w:t>Pārkāpuma veids</w:t>
            </w:r>
          </w:p>
        </w:tc>
        <w:tc>
          <w:tcPr>
            <w:tcW w:w="2410" w:type="dxa"/>
            <w:tcBorders>
              <w:top w:val="single" w:sz="4" w:space="0" w:color="auto"/>
              <w:bottom w:val="single" w:sz="4" w:space="0" w:color="auto"/>
            </w:tcBorders>
            <w:shd w:val="clear" w:color="auto" w:fill="D9D9D9" w:themeFill="background1" w:themeFillShade="D9"/>
          </w:tcPr>
          <w:p w14:paraId="3C01730B" w14:textId="04603A8C" w:rsidR="006D1E6E" w:rsidRPr="00E66470" w:rsidRDefault="003B09BC" w:rsidP="00B86CE7">
            <w:pPr>
              <w:ind w:firstLine="0"/>
              <w:jc w:val="center"/>
              <w:rPr>
                <w:b/>
                <w:bCs/>
                <w:sz w:val="20"/>
                <w:szCs w:val="20"/>
                <w:highlight w:val="lightGray"/>
              </w:rPr>
            </w:pPr>
            <w:r>
              <w:rPr>
                <w:b/>
                <w:bCs/>
                <w:sz w:val="20"/>
                <w:szCs w:val="20"/>
                <w:highlight w:val="lightGray"/>
              </w:rPr>
              <w:t>Formāls pārkāpums</w:t>
            </w:r>
          </w:p>
          <w:p w14:paraId="1EA750BA" w14:textId="75A3E2AD" w:rsidR="006D1E6E" w:rsidRPr="00E66470" w:rsidRDefault="006D1E6E" w:rsidP="00B86CE7">
            <w:pPr>
              <w:ind w:firstLine="0"/>
              <w:jc w:val="center"/>
              <w:rPr>
                <w:sz w:val="28"/>
                <w:szCs w:val="28"/>
                <w:highlight w:val="lightGray"/>
              </w:rPr>
            </w:pPr>
          </w:p>
        </w:tc>
        <w:tc>
          <w:tcPr>
            <w:tcW w:w="2410" w:type="dxa"/>
            <w:tcBorders>
              <w:top w:val="single" w:sz="4" w:space="0" w:color="auto"/>
              <w:bottom w:val="single" w:sz="4" w:space="0" w:color="auto"/>
            </w:tcBorders>
            <w:shd w:val="clear" w:color="auto" w:fill="FFC000"/>
          </w:tcPr>
          <w:p w14:paraId="13D0C059" w14:textId="77777777" w:rsidR="006D1E6E" w:rsidRDefault="006D1E6E" w:rsidP="00B86CE7">
            <w:pPr>
              <w:ind w:firstLine="0"/>
              <w:jc w:val="center"/>
              <w:rPr>
                <w:b/>
                <w:bCs/>
                <w:sz w:val="20"/>
                <w:szCs w:val="20"/>
              </w:rPr>
            </w:pPr>
            <w:r w:rsidRPr="00AB2A6A">
              <w:rPr>
                <w:b/>
                <w:bCs/>
                <w:sz w:val="20"/>
                <w:szCs w:val="20"/>
              </w:rPr>
              <w:t>Viegls pārkāpums</w:t>
            </w:r>
          </w:p>
          <w:p w14:paraId="4A6FC277" w14:textId="2B3BEAF4"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0000"/>
          </w:tcPr>
          <w:p w14:paraId="3C84288C" w14:textId="7EA2EEF9" w:rsidR="006D1E6E" w:rsidRPr="00E66470" w:rsidRDefault="006D1E6E" w:rsidP="00B86CE7">
            <w:pPr>
              <w:ind w:firstLine="0"/>
              <w:jc w:val="center"/>
              <w:rPr>
                <w:b/>
                <w:bCs/>
                <w:sz w:val="20"/>
                <w:szCs w:val="20"/>
                <w:highlight w:val="red"/>
              </w:rPr>
            </w:pPr>
            <w:r w:rsidRPr="00E66470">
              <w:rPr>
                <w:b/>
                <w:bCs/>
                <w:sz w:val="20"/>
                <w:szCs w:val="20"/>
                <w:highlight w:val="red"/>
              </w:rPr>
              <w:t>Nopietns (smags) pārkāpum</w:t>
            </w:r>
            <w:r w:rsidR="002E2D49">
              <w:rPr>
                <w:b/>
                <w:bCs/>
                <w:sz w:val="20"/>
                <w:szCs w:val="20"/>
                <w:highlight w:val="red"/>
              </w:rPr>
              <w:t>s</w:t>
            </w:r>
          </w:p>
          <w:p w14:paraId="35144A1E" w14:textId="34B15FE5" w:rsidR="006D1E6E" w:rsidRPr="00E66470" w:rsidRDefault="006D1E6E" w:rsidP="00B86CE7">
            <w:pPr>
              <w:ind w:hanging="19"/>
              <w:jc w:val="center"/>
              <w:rPr>
                <w:sz w:val="28"/>
                <w:szCs w:val="28"/>
                <w:highlight w:val="red"/>
              </w:rPr>
            </w:pPr>
          </w:p>
        </w:tc>
        <w:tc>
          <w:tcPr>
            <w:tcW w:w="2409" w:type="dxa"/>
            <w:tcBorders>
              <w:top w:val="single" w:sz="4" w:space="0" w:color="auto"/>
              <w:bottom w:val="single" w:sz="4" w:space="0" w:color="auto"/>
              <w:right w:val="single" w:sz="4" w:space="0" w:color="auto"/>
            </w:tcBorders>
            <w:shd w:val="clear" w:color="auto" w:fill="C00000"/>
          </w:tcPr>
          <w:p w14:paraId="666C30C5" w14:textId="77777777" w:rsidR="006D1E6E" w:rsidRDefault="006D1E6E" w:rsidP="00B86CE7">
            <w:pPr>
              <w:ind w:firstLine="0"/>
              <w:jc w:val="center"/>
              <w:rPr>
                <w:b/>
                <w:bCs/>
                <w:sz w:val="20"/>
                <w:szCs w:val="20"/>
              </w:rPr>
            </w:pPr>
            <w:r w:rsidRPr="00AB2A6A">
              <w:rPr>
                <w:b/>
                <w:bCs/>
                <w:sz w:val="20"/>
                <w:szCs w:val="20"/>
              </w:rPr>
              <w:t>Kritisks pārkāpums</w:t>
            </w:r>
          </w:p>
          <w:p w14:paraId="5F97E788" w14:textId="13B89216" w:rsidR="006D1E6E" w:rsidRPr="008527D7" w:rsidRDefault="006D1E6E" w:rsidP="00B86CE7">
            <w:pPr>
              <w:ind w:firstLine="0"/>
              <w:jc w:val="center"/>
              <w:rPr>
                <w:sz w:val="28"/>
                <w:szCs w:val="28"/>
              </w:rPr>
            </w:pPr>
          </w:p>
        </w:tc>
      </w:tr>
      <w:tr w:rsidR="006D1E6E" w:rsidRPr="008527D7" w14:paraId="65538240" w14:textId="77777777" w:rsidTr="00E44DC3">
        <w:trPr>
          <w:trHeight w:val="754"/>
        </w:trPr>
        <w:tc>
          <w:tcPr>
            <w:tcW w:w="1717" w:type="dxa"/>
            <w:gridSpan w:val="2"/>
            <w:tcBorders>
              <w:top w:val="single" w:sz="4" w:space="0" w:color="auto"/>
              <w:left w:val="single" w:sz="4" w:space="0" w:color="auto"/>
              <w:bottom w:val="single" w:sz="4" w:space="0" w:color="auto"/>
            </w:tcBorders>
          </w:tcPr>
          <w:p w14:paraId="734F5E52" w14:textId="77777777" w:rsidR="006D1E6E" w:rsidRDefault="006D1E6E" w:rsidP="00B86CE7">
            <w:pPr>
              <w:ind w:firstLine="0"/>
              <w:jc w:val="left"/>
              <w:rPr>
                <w:b/>
                <w:sz w:val="18"/>
                <w:szCs w:val="18"/>
              </w:rPr>
            </w:pPr>
          </w:p>
        </w:tc>
        <w:tc>
          <w:tcPr>
            <w:tcW w:w="2409" w:type="dxa"/>
            <w:tcBorders>
              <w:top w:val="single" w:sz="4" w:space="0" w:color="auto"/>
              <w:bottom w:val="single" w:sz="4" w:space="0" w:color="auto"/>
            </w:tcBorders>
          </w:tcPr>
          <w:p w14:paraId="46E269EC" w14:textId="4190272D" w:rsidR="006D1E6E" w:rsidRPr="00DD4199" w:rsidRDefault="00DD4199" w:rsidP="00B86CE7">
            <w:pPr>
              <w:ind w:firstLine="0"/>
              <w:jc w:val="left"/>
              <w:rPr>
                <w:b/>
                <w:sz w:val="18"/>
                <w:szCs w:val="18"/>
              </w:rPr>
            </w:pPr>
            <w:r>
              <w:rPr>
                <w:b/>
                <w:sz w:val="18"/>
                <w:szCs w:val="18"/>
              </w:rPr>
              <w:t xml:space="preserve">1. </w:t>
            </w:r>
            <w:r w:rsidR="006D1E6E" w:rsidRPr="00DD4199">
              <w:rPr>
                <w:b/>
                <w:sz w:val="18"/>
                <w:szCs w:val="18"/>
              </w:rPr>
              <w:t>Termiņa (informācijas sniegšana u.c.) kavējums – pēc Komisijas pieprasījuma</w:t>
            </w:r>
          </w:p>
        </w:tc>
        <w:tc>
          <w:tcPr>
            <w:tcW w:w="2410" w:type="dxa"/>
            <w:tcBorders>
              <w:top w:val="single" w:sz="4" w:space="0" w:color="auto"/>
              <w:bottom w:val="single" w:sz="4" w:space="0" w:color="auto"/>
            </w:tcBorders>
          </w:tcPr>
          <w:p w14:paraId="77065F91" w14:textId="7755DF36"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tcPr>
          <w:p w14:paraId="4A8D3FE7"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27D94F1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56BB2A52" w14:textId="77777777" w:rsidR="006D1E6E" w:rsidRPr="008527D7" w:rsidRDefault="006D1E6E" w:rsidP="00B86CE7">
            <w:pPr>
              <w:ind w:firstLine="0"/>
              <w:jc w:val="center"/>
              <w:rPr>
                <w:sz w:val="28"/>
                <w:szCs w:val="28"/>
              </w:rPr>
            </w:pPr>
          </w:p>
        </w:tc>
      </w:tr>
      <w:tr w:rsidR="006D1E6E" w:rsidRPr="008527D7" w14:paraId="07A0DBA6" w14:textId="77777777" w:rsidTr="00DD4199">
        <w:trPr>
          <w:trHeight w:val="1262"/>
        </w:trPr>
        <w:tc>
          <w:tcPr>
            <w:tcW w:w="1717" w:type="dxa"/>
            <w:gridSpan w:val="2"/>
            <w:tcBorders>
              <w:top w:val="single" w:sz="4" w:space="0" w:color="auto"/>
              <w:left w:val="single" w:sz="4" w:space="0" w:color="auto"/>
              <w:bottom w:val="single" w:sz="4" w:space="0" w:color="auto"/>
            </w:tcBorders>
          </w:tcPr>
          <w:p w14:paraId="4FB8B1C2" w14:textId="77777777" w:rsidR="006D1E6E" w:rsidRDefault="006D1E6E" w:rsidP="00B86CE7">
            <w:pPr>
              <w:ind w:firstLine="0"/>
              <w:jc w:val="left"/>
              <w:rPr>
                <w:b/>
                <w:sz w:val="18"/>
                <w:szCs w:val="18"/>
              </w:rPr>
            </w:pPr>
          </w:p>
        </w:tc>
        <w:tc>
          <w:tcPr>
            <w:tcW w:w="2409" w:type="dxa"/>
            <w:tcBorders>
              <w:top w:val="single" w:sz="4" w:space="0" w:color="auto"/>
              <w:bottom w:val="single" w:sz="4" w:space="0" w:color="auto"/>
            </w:tcBorders>
          </w:tcPr>
          <w:p w14:paraId="7B883784" w14:textId="002459E7" w:rsidR="006D1E6E" w:rsidRPr="00DD4199" w:rsidRDefault="00DD4199" w:rsidP="00B86CE7">
            <w:pPr>
              <w:ind w:firstLine="0"/>
              <w:jc w:val="left"/>
              <w:rPr>
                <w:b/>
                <w:sz w:val="18"/>
                <w:szCs w:val="18"/>
              </w:rPr>
            </w:pPr>
            <w:r>
              <w:rPr>
                <w:b/>
                <w:sz w:val="18"/>
                <w:szCs w:val="18"/>
              </w:rPr>
              <w:t xml:space="preserve">2. </w:t>
            </w:r>
            <w:r w:rsidR="006D1E6E" w:rsidRPr="00DD4199">
              <w:rPr>
                <w:b/>
                <w:sz w:val="18"/>
                <w:szCs w:val="18"/>
              </w:rPr>
              <w:t>Termiņa (pārskatu sniegšana vai publicēšana) kavējums – normatīvajos aktos noteiktie termiņi pārskatu iesniegšanai/</w:t>
            </w:r>
            <w:r>
              <w:rPr>
                <w:b/>
                <w:sz w:val="18"/>
                <w:szCs w:val="18"/>
              </w:rPr>
              <w:t xml:space="preserve"> </w:t>
            </w:r>
            <w:r w:rsidR="006D1E6E" w:rsidRPr="00DD4199">
              <w:rPr>
                <w:b/>
                <w:sz w:val="18"/>
                <w:szCs w:val="18"/>
              </w:rPr>
              <w:t>publicēšanai</w:t>
            </w:r>
          </w:p>
        </w:tc>
        <w:tc>
          <w:tcPr>
            <w:tcW w:w="2410" w:type="dxa"/>
            <w:tcBorders>
              <w:top w:val="single" w:sz="4" w:space="0" w:color="auto"/>
              <w:bottom w:val="single" w:sz="4" w:space="0" w:color="auto"/>
            </w:tcBorders>
          </w:tcPr>
          <w:p w14:paraId="33C6AD34" w14:textId="4D793B7D"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tcPr>
          <w:p w14:paraId="67EF6D3E"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673EDD0E"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71B353C0" w14:textId="77777777" w:rsidR="006D1E6E" w:rsidRPr="008527D7" w:rsidRDefault="006D1E6E" w:rsidP="00B86CE7">
            <w:pPr>
              <w:ind w:firstLine="0"/>
              <w:jc w:val="center"/>
              <w:rPr>
                <w:sz w:val="28"/>
                <w:szCs w:val="28"/>
              </w:rPr>
            </w:pPr>
          </w:p>
        </w:tc>
      </w:tr>
      <w:tr w:rsidR="006D1E6E" w:rsidRPr="008527D7" w14:paraId="761DE02E" w14:textId="77777777" w:rsidTr="00DD4199">
        <w:trPr>
          <w:trHeight w:val="1262"/>
        </w:trPr>
        <w:tc>
          <w:tcPr>
            <w:tcW w:w="1717" w:type="dxa"/>
            <w:gridSpan w:val="2"/>
            <w:tcBorders>
              <w:top w:val="single" w:sz="4" w:space="0" w:color="auto"/>
              <w:left w:val="single" w:sz="4" w:space="0" w:color="auto"/>
              <w:bottom w:val="single" w:sz="4" w:space="0" w:color="auto"/>
            </w:tcBorders>
          </w:tcPr>
          <w:p w14:paraId="41171C30" w14:textId="77777777" w:rsidR="006D1E6E" w:rsidRDefault="006D1E6E" w:rsidP="00B86CE7">
            <w:pPr>
              <w:ind w:firstLine="0"/>
              <w:jc w:val="left"/>
              <w:rPr>
                <w:b/>
                <w:sz w:val="18"/>
                <w:szCs w:val="18"/>
              </w:rPr>
            </w:pPr>
          </w:p>
        </w:tc>
        <w:tc>
          <w:tcPr>
            <w:tcW w:w="2409" w:type="dxa"/>
            <w:tcBorders>
              <w:top w:val="single" w:sz="4" w:space="0" w:color="auto"/>
              <w:bottom w:val="single" w:sz="4" w:space="0" w:color="auto"/>
            </w:tcBorders>
          </w:tcPr>
          <w:p w14:paraId="2EA12FB6" w14:textId="47B924EB" w:rsidR="006D1E6E" w:rsidRPr="00DD4199" w:rsidRDefault="00DD4199" w:rsidP="00B86CE7">
            <w:pPr>
              <w:ind w:firstLine="0"/>
              <w:jc w:val="left"/>
              <w:rPr>
                <w:b/>
                <w:sz w:val="18"/>
                <w:szCs w:val="18"/>
              </w:rPr>
            </w:pPr>
            <w:r>
              <w:rPr>
                <w:b/>
                <w:sz w:val="18"/>
                <w:szCs w:val="18"/>
              </w:rPr>
              <w:t xml:space="preserve">3. </w:t>
            </w:r>
            <w:r w:rsidR="006D1E6E" w:rsidRPr="00DD4199">
              <w:rPr>
                <w:b/>
                <w:sz w:val="18"/>
                <w:szCs w:val="18"/>
              </w:rPr>
              <w:t>Termiņa kavējums – normatīvajos aktos noteikti</w:t>
            </w:r>
            <w:r w:rsidR="007D4AFA">
              <w:rPr>
                <w:b/>
                <w:sz w:val="18"/>
                <w:szCs w:val="18"/>
              </w:rPr>
              <w:t>e</w:t>
            </w:r>
            <w:r w:rsidR="006D1E6E" w:rsidRPr="00DD4199">
              <w:rPr>
                <w:b/>
                <w:sz w:val="18"/>
                <w:szCs w:val="18"/>
              </w:rPr>
              <w:t xml:space="preserve"> termiņi informācijas/ paziņojuma, dokumentu sniegšanai, neparedzot tālāku Komisijas saskaņojuma vai atļaujas sniegšanu (ciešas attiecības, ārpakalpojumi, pārstāvji)</w:t>
            </w:r>
          </w:p>
        </w:tc>
        <w:tc>
          <w:tcPr>
            <w:tcW w:w="2410" w:type="dxa"/>
            <w:tcBorders>
              <w:top w:val="single" w:sz="4" w:space="0" w:color="auto"/>
              <w:bottom w:val="single" w:sz="4" w:space="0" w:color="auto"/>
            </w:tcBorders>
          </w:tcPr>
          <w:p w14:paraId="78B01D86" w14:textId="456684A9"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tcPr>
          <w:p w14:paraId="176997AA"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48EC238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261B0865" w14:textId="77777777" w:rsidR="006D1E6E" w:rsidRPr="008527D7" w:rsidRDefault="006D1E6E" w:rsidP="00B86CE7">
            <w:pPr>
              <w:ind w:firstLine="0"/>
              <w:jc w:val="center"/>
              <w:rPr>
                <w:sz w:val="28"/>
                <w:szCs w:val="28"/>
              </w:rPr>
            </w:pPr>
          </w:p>
        </w:tc>
      </w:tr>
      <w:tr w:rsidR="006D1E6E" w:rsidRPr="008527D7" w14:paraId="318A622C" w14:textId="77777777" w:rsidTr="00DD4199">
        <w:trPr>
          <w:trHeight w:val="1262"/>
        </w:trPr>
        <w:tc>
          <w:tcPr>
            <w:tcW w:w="1717" w:type="dxa"/>
            <w:gridSpan w:val="2"/>
            <w:tcBorders>
              <w:top w:val="single" w:sz="4" w:space="0" w:color="auto"/>
              <w:left w:val="single" w:sz="4" w:space="0" w:color="auto"/>
              <w:bottom w:val="single" w:sz="4" w:space="0" w:color="auto"/>
            </w:tcBorders>
          </w:tcPr>
          <w:p w14:paraId="732E4E94" w14:textId="77777777" w:rsidR="006D1E6E" w:rsidRDefault="006D1E6E" w:rsidP="00B86CE7">
            <w:pPr>
              <w:ind w:firstLine="0"/>
              <w:jc w:val="left"/>
              <w:rPr>
                <w:b/>
                <w:sz w:val="18"/>
                <w:szCs w:val="18"/>
              </w:rPr>
            </w:pPr>
          </w:p>
        </w:tc>
        <w:tc>
          <w:tcPr>
            <w:tcW w:w="2409" w:type="dxa"/>
            <w:tcBorders>
              <w:top w:val="single" w:sz="4" w:space="0" w:color="auto"/>
              <w:bottom w:val="single" w:sz="4" w:space="0" w:color="auto"/>
            </w:tcBorders>
          </w:tcPr>
          <w:p w14:paraId="40DAD40C" w14:textId="77777777" w:rsidR="00E02973" w:rsidRPr="00040771" w:rsidRDefault="00DD4199" w:rsidP="008A7857">
            <w:pPr>
              <w:ind w:firstLine="0"/>
              <w:jc w:val="left"/>
              <w:rPr>
                <w:bCs/>
                <w:sz w:val="20"/>
                <w:szCs w:val="20"/>
              </w:rPr>
            </w:pPr>
            <w:r>
              <w:rPr>
                <w:b/>
                <w:sz w:val="18"/>
                <w:szCs w:val="18"/>
              </w:rPr>
              <w:t xml:space="preserve">4. </w:t>
            </w:r>
            <w:r w:rsidR="006D1E6E" w:rsidRPr="00DD4199">
              <w:rPr>
                <w:b/>
                <w:sz w:val="18"/>
                <w:szCs w:val="18"/>
              </w:rPr>
              <w:t xml:space="preserve">Amatpersonu </w:t>
            </w:r>
            <w:r w:rsidR="00E02973" w:rsidRPr="008A7857">
              <w:rPr>
                <w:rFonts w:eastAsiaTheme="minorHAnsi"/>
                <w:b/>
                <w:sz w:val="18"/>
                <w:szCs w:val="18"/>
                <w:lang w:eastAsia="en-US"/>
              </w:rPr>
              <w:t>atbilstības un piemērotības novērtēšana</w:t>
            </w:r>
          </w:p>
          <w:p w14:paraId="528965FF" w14:textId="523BB2A0" w:rsidR="006D1E6E" w:rsidRPr="00DD4199" w:rsidRDefault="006D1E6E" w:rsidP="008A7857">
            <w:pPr>
              <w:ind w:firstLine="0"/>
              <w:rPr>
                <w:b/>
                <w:sz w:val="18"/>
                <w:szCs w:val="18"/>
              </w:rPr>
            </w:pPr>
          </w:p>
        </w:tc>
        <w:tc>
          <w:tcPr>
            <w:tcW w:w="2410" w:type="dxa"/>
            <w:tcBorders>
              <w:top w:val="single" w:sz="4" w:space="0" w:color="auto"/>
              <w:bottom w:val="single" w:sz="4" w:space="0" w:color="auto"/>
            </w:tcBorders>
          </w:tcPr>
          <w:p w14:paraId="7C1AC691"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2A40AE33" w14:textId="5C640467" w:rsidR="006D1E6E" w:rsidRPr="006D1E6E" w:rsidRDefault="006D1E6E" w:rsidP="00B86CE7">
            <w:pPr>
              <w:ind w:firstLine="0"/>
              <w:jc w:val="center"/>
              <w:rPr>
                <w:sz w:val="28"/>
                <w:szCs w:val="28"/>
              </w:rPr>
            </w:pPr>
            <w:r w:rsidRPr="006D1E6E">
              <w:rPr>
                <w:sz w:val="28"/>
                <w:szCs w:val="28"/>
              </w:rPr>
              <w:t>X</w:t>
            </w:r>
          </w:p>
        </w:tc>
        <w:tc>
          <w:tcPr>
            <w:tcW w:w="2410" w:type="dxa"/>
            <w:tcBorders>
              <w:top w:val="single" w:sz="4" w:space="0" w:color="auto"/>
              <w:bottom w:val="single" w:sz="4" w:space="0" w:color="auto"/>
            </w:tcBorders>
          </w:tcPr>
          <w:p w14:paraId="0E67A86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39B36083" w14:textId="77777777" w:rsidR="006D1E6E" w:rsidRPr="008527D7" w:rsidRDefault="006D1E6E" w:rsidP="00B86CE7">
            <w:pPr>
              <w:ind w:firstLine="0"/>
              <w:jc w:val="center"/>
              <w:rPr>
                <w:sz w:val="28"/>
                <w:szCs w:val="28"/>
              </w:rPr>
            </w:pPr>
          </w:p>
        </w:tc>
      </w:tr>
      <w:tr w:rsidR="006D1E6E" w:rsidRPr="008527D7" w14:paraId="137466F2" w14:textId="77777777" w:rsidTr="00DD4199">
        <w:trPr>
          <w:trHeight w:val="1262"/>
        </w:trPr>
        <w:tc>
          <w:tcPr>
            <w:tcW w:w="1717" w:type="dxa"/>
            <w:gridSpan w:val="2"/>
            <w:tcBorders>
              <w:top w:val="single" w:sz="4" w:space="0" w:color="auto"/>
              <w:left w:val="single" w:sz="4" w:space="0" w:color="auto"/>
              <w:bottom w:val="single" w:sz="4" w:space="0" w:color="auto"/>
            </w:tcBorders>
          </w:tcPr>
          <w:p w14:paraId="24E510FF" w14:textId="77777777" w:rsidR="006D1E6E" w:rsidRDefault="006D1E6E" w:rsidP="00B86CE7">
            <w:pPr>
              <w:ind w:firstLine="0"/>
              <w:jc w:val="left"/>
              <w:rPr>
                <w:b/>
                <w:sz w:val="18"/>
                <w:szCs w:val="18"/>
              </w:rPr>
            </w:pPr>
          </w:p>
        </w:tc>
        <w:tc>
          <w:tcPr>
            <w:tcW w:w="2409" w:type="dxa"/>
            <w:tcBorders>
              <w:top w:val="single" w:sz="4" w:space="0" w:color="auto"/>
              <w:bottom w:val="single" w:sz="4" w:space="0" w:color="auto"/>
            </w:tcBorders>
          </w:tcPr>
          <w:p w14:paraId="2DB12FE2" w14:textId="7E74D7CC" w:rsidR="006D1E6E" w:rsidRPr="00DD4199" w:rsidRDefault="00DD4199" w:rsidP="006D1E6E">
            <w:pPr>
              <w:ind w:firstLine="0"/>
              <w:rPr>
                <w:b/>
                <w:sz w:val="18"/>
                <w:szCs w:val="18"/>
              </w:rPr>
            </w:pPr>
            <w:r>
              <w:rPr>
                <w:b/>
                <w:sz w:val="18"/>
                <w:szCs w:val="18"/>
              </w:rPr>
              <w:t xml:space="preserve">5. </w:t>
            </w:r>
            <w:r w:rsidR="006D1E6E" w:rsidRPr="00DD4199">
              <w:rPr>
                <w:b/>
                <w:sz w:val="18"/>
                <w:szCs w:val="18"/>
              </w:rPr>
              <w:t>Būtiska līdzdalība</w:t>
            </w:r>
          </w:p>
          <w:p w14:paraId="02C9C668" w14:textId="77777777" w:rsidR="006D1E6E" w:rsidRPr="00DD4199" w:rsidRDefault="006D1E6E" w:rsidP="00B86CE7">
            <w:pPr>
              <w:ind w:firstLine="0"/>
              <w:jc w:val="left"/>
              <w:rPr>
                <w:b/>
                <w:sz w:val="18"/>
                <w:szCs w:val="18"/>
              </w:rPr>
            </w:pPr>
          </w:p>
        </w:tc>
        <w:tc>
          <w:tcPr>
            <w:tcW w:w="2410" w:type="dxa"/>
            <w:tcBorders>
              <w:top w:val="single" w:sz="4" w:space="0" w:color="auto"/>
              <w:bottom w:val="single" w:sz="4" w:space="0" w:color="auto"/>
            </w:tcBorders>
          </w:tcPr>
          <w:p w14:paraId="11CD2700"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3F9DF1F0" w14:textId="77777777" w:rsidR="006D1E6E" w:rsidRPr="006D1E6E" w:rsidRDefault="006D1E6E" w:rsidP="00B86CE7">
            <w:pPr>
              <w:ind w:firstLine="0"/>
              <w:jc w:val="center"/>
              <w:rPr>
                <w:sz w:val="28"/>
                <w:szCs w:val="28"/>
              </w:rPr>
            </w:pPr>
            <w:r w:rsidRPr="006D1E6E">
              <w:rPr>
                <w:sz w:val="28"/>
                <w:szCs w:val="28"/>
              </w:rPr>
              <w:t>X</w:t>
            </w:r>
          </w:p>
          <w:p w14:paraId="2C17576C" w14:textId="77777777" w:rsidR="006D1E6E" w:rsidRDefault="006D1E6E" w:rsidP="006D1E6E">
            <w:pPr>
              <w:jc w:val="center"/>
              <w:rPr>
                <w:rFonts w:ascii="Calibri" w:hAnsi="Calibri" w:cs="Calibri"/>
                <w:b/>
                <w:bCs/>
                <w:sz w:val="18"/>
                <w:szCs w:val="18"/>
              </w:rPr>
            </w:pPr>
          </w:p>
          <w:p w14:paraId="29574E4B" w14:textId="10D73BA1" w:rsidR="006D1E6E" w:rsidRPr="00DD4199" w:rsidRDefault="006D1E6E" w:rsidP="006D1E6E">
            <w:pPr>
              <w:ind w:firstLine="0"/>
              <w:jc w:val="center"/>
              <w:rPr>
                <w:b/>
                <w:bCs/>
                <w:sz w:val="18"/>
                <w:szCs w:val="18"/>
              </w:rPr>
            </w:pPr>
            <w:r w:rsidRPr="00DD4199">
              <w:rPr>
                <w:b/>
                <w:bCs/>
                <w:sz w:val="18"/>
                <w:szCs w:val="18"/>
              </w:rPr>
              <w:t>Kritēriji:</w:t>
            </w:r>
          </w:p>
          <w:p w14:paraId="15635F60" w14:textId="574096B0" w:rsidR="006D1E6E" w:rsidRPr="00DD4199" w:rsidRDefault="002D1767" w:rsidP="006D1E6E">
            <w:pPr>
              <w:ind w:firstLine="0"/>
              <w:jc w:val="center"/>
              <w:rPr>
                <w:sz w:val="18"/>
                <w:szCs w:val="18"/>
              </w:rPr>
            </w:pPr>
            <w:r>
              <w:rPr>
                <w:sz w:val="18"/>
                <w:szCs w:val="18"/>
              </w:rPr>
              <w:t>T</w:t>
            </w:r>
            <w:r w:rsidRPr="00DD4199">
              <w:rPr>
                <w:sz w:val="18"/>
                <w:szCs w:val="18"/>
              </w:rPr>
              <w:t xml:space="preserve">ieša </w:t>
            </w:r>
            <w:r w:rsidR="006D1E6E" w:rsidRPr="00DD4199">
              <w:rPr>
                <w:sz w:val="18"/>
                <w:szCs w:val="18"/>
              </w:rPr>
              <w:t>līdzdalība līdz 33%</w:t>
            </w:r>
          </w:p>
          <w:p w14:paraId="065DECB8" w14:textId="63E1D3B9" w:rsidR="006D1E6E" w:rsidRDefault="002D1767" w:rsidP="006D1E6E">
            <w:pPr>
              <w:ind w:firstLine="0"/>
              <w:jc w:val="center"/>
              <w:rPr>
                <w:b/>
                <w:bCs/>
                <w:sz w:val="28"/>
                <w:szCs w:val="28"/>
              </w:rPr>
            </w:pPr>
            <w:r>
              <w:rPr>
                <w:sz w:val="18"/>
                <w:szCs w:val="18"/>
              </w:rPr>
              <w:t>N</w:t>
            </w:r>
            <w:r w:rsidRPr="00DD4199">
              <w:rPr>
                <w:sz w:val="18"/>
                <w:szCs w:val="18"/>
              </w:rPr>
              <w:t xml:space="preserve">etieša </w:t>
            </w:r>
            <w:r w:rsidR="006D1E6E" w:rsidRPr="00DD4199">
              <w:rPr>
                <w:sz w:val="18"/>
                <w:szCs w:val="18"/>
              </w:rPr>
              <w:t>līdzdalība līdz 50%</w:t>
            </w:r>
          </w:p>
        </w:tc>
        <w:tc>
          <w:tcPr>
            <w:tcW w:w="2410" w:type="dxa"/>
            <w:tcBorders>
              <w:top w:val="single" w:sz="4" w:space="0" w:color="auto"/>
              <w:bottom w:val="single" w:sz="4" w:space="0" w:color="auto"/>
            </w:tcBorders>
          </w:tcPr>
          <w:p w14:paraId="4367A4D5" w14:textId="77777777" w:rsidR="006D1E6E" w:rsidRDefault="006D1E6E" w:rsidP="00B86CE7">
            <w:pPr>
              <w:ind w:hanging="19"/>
              <w:jc w:val="center"/>
              <w:rPr>
                <w:sz w:val="28"/>
                <w:szCs w:val="28"/>
              </w:rPr>
            </w:pPr>
            <w:r>
              <w:rPr>
                <w:sz w:val="28"/>
                <w:szCs w:val="28"/>
              </w:rPr>
              <w:t>X</w:t>
            </w:r>
          </w:p>
          <w:p w14:paraId="69A086D2" w14:textId="77777777" w:rsidR="006D1E6E" w:rsidRPr="006D1E6E" w:rsidRDefault="006D1E6E" w:rsidP="00B86CE7">
            <w:pPr>
              <w:ind w:hanging="19"/>
              <w:jc w:val="center"/>
              <w:rPr>
                <w:rFonts w:asciiTheme="minorHAnsi" w:hAnsiTheme="minorHAnsi" w:cstheme="minorHAnsi"/>
                <w:sz w:val="18"/>
                <w:szCs w:val="18"/>
              </w:rPr>
            </w:pPr>
          </w:p>
          <w:p w14:paraId="4E61036D" w14:textId="77777777" w:rsidR="006D1E6E" w:rsidRPr="00DD4199" w:rsidRDefault="006D1E6E" w:rsidP="006D1E6E">
            <w:pPr>
              <w:ind w:firstLine="0"/>
              <w:jc w:val="center"/>
              <w:rPr>
                <w:b/>
                <w:bCs/>
                <w:sz w:val="18"/>
                <w:szCs w:val="18"/>
              </w:rPr>
            </w:pPr>
            <w:r w:rsidRPr="00DD4199">
              <w:rPr>
                <w:b/>
                <w:bCs/>
                <w:sz w:val="18"/>
                <w:szCs w:val="18"/>
              </w:rPr>
              <w:t>Kritēriji:</w:t>
            </w:r>
          </w:p>
          <w:p w14:paraId="7ACD3DF7" w14:textId="69844EB9" w:rsidR="006D1E6E" w:rsidRPr="00DD4199" w:rsidRDefault="002D1767" w:rsidP="006D1E6E">
            <w:pPr>
              <w:ind w:firstLine="0"/>
              <w:jc w:val="center"/>
              <w:rPr>
                <w:sz w:val="18"/>
                <w:szCs w:val="18"/>
              </w:rPr>
            </w:pPr>
            <w:r>
              <w:rPr>
                <w:sz w:val="18"/>
                <w:szCs w:val="18"/>
              </w:rPr>
              <w:t>T</w:t>
            </w:r>
            <w:r w:rsidRPr="00DD4199">
              <w:rPr>
                <w:sz w:val="18"/>
                <w:szCs w:val="18"/>
              </w:rPr>
              <w:t xml:space="preserve">ieša </w:t>
            </w:r>
            <w:r w:rsidR="006D1E6E" w:rsidRPr="00DD4199">
              <w:rPr>
                <w:sz w:val="18"/>
                <w:szCs w:val="18"/>
              </w:rPr>
              <w:t>līdzdalība virs 33%</w:t>
            </w:r>
          </w:p>
          <w:p w14:paraId="5C4EFE6C" w14:textId="13CD0C57" w:rsidR="006D1E6E" w:rsidRPr="008527D7" w:rsidRDefault="002D1767" w:rsidP="006D1E6E">
            <w:pPr>
              <w:ind w:hanging="19"/>
              <w:jc w:val="center"/>
              <w:rPr>
                <w:sz w:val="28"/>
                <w:szCs w:val="28"/>
              </w:rPr>
            </w:pPr>
            <w:r>
              <w:rPr>
                <w:sz w:val="18"/>
                <w:szCs w:val="18"/>
              </w:rPr>
              <w:t>N</w:t>
            </w:r>
            <w:r w:rsidRPr="00DD4199">
              <w:rPr>
                <w:sz w:val="18"/>
                <w:szCs w:val="18"/>
              </w:rPr>
              <w:t xml:space="preserve">etieša </w:t>
            </w:r>
            <w:r w:rsidR="006D1E6E" w:rsidRPr="00DD4199">
              <w:rPr>
                <w:sz w:val="18"/>
                <w:szCs w:val="18"/>
              </w:rPr>
              <w:t>līdzdalība virs 50%</w:t>
            </w:r>
          </w:p>
        </w:tc>
        <w:tc>
          <w:tcPr>
            <w:tcW w:w="2409" w:type="dxa"/>
            <w:tcBorders>
              <w:top w:val="single" w:sz="4" w:space="0" w:color="auto"/>
              <w:bottom w:val="single" w:sz="4" w:space="0" w:color="auto"/>
              <w:right w:val="single" w:sz="4" w:space="0" w:color="auto"/>
            </w:tcBorders>
          </w:tcPr>
          <w:p w14:paraId="5D835C2F" w14:textId="77777777" w:rsidR="006D1E6E" w:rsidRPr="008527D7" w:rsidRDefault="006D1E6E" w:rsidP="00B86CE7">
            <w:pPr>
              <w:ind w:firstLine="0"/>
              <w:jc w:val="center"/>
              <w:rPr>
                <w:sz w:val="28"/>
                <w:szCs w:val="28"/>
              </w:rPr>
            </w:pPr>
          </w:p>
        </w:tc>
      </w:tr>
      <w:tr w:rsidR="006D1E6E" w:rsidRPr="008527D7" w14:paraId="7F9B2987" w14:textId="77777777" w:rsidTr="00DD4199">
        <w:trPr>
          <w:trHeight w:val="1262"/>
        </w:trPr>
        <w:tc>
          <w:tcPr>
            <w:tcW w:w="1717" w:type="dxa"/>
            <w:gridSpan w:val="2"/>
            <w:tcBorders>
              <w:top w:val="single" w:sz="4" w:space="0" w:color="auto"/>
              <w:left w:val="single" w:sz="4" w:space="0" w:color="auto"/>
              <w:bottom w:val="single" w:sz="4" w:space="0" w:color="auto"/>
            </w:tcBorders>
          </w:tcPr>
          <w:p w14:paraId="542878EF" w14:textId="77777777" w:rsidR="006D1E6E" w:rsidRDefault="006D1E6E" w:rsidP="00B86CE7">
            <w:pPr>
              <w:ind w:firstLine="0"/>
              <w:jc w:val="left"/>
              <w:rPr>
                <w:b/>
                <w:sz w:val="18"/>
                <w:szCs w:val="18"/>
              </w:rPr>
            </w:pPr>
          </w:p>
        </w:tc>
        <w:tc>
          <w:tcPr>
            <w:tcW w:w="2409" w:type="dxa"/>
            <w:tcBorders>
              <w:top w:val="single" w:sz="4" w:space="0" w:color="auto"/>
              <w:bottom w:val="single" w:sz="4" w:space="0" w:color="auto"/>
            </w:tcBorders>
          </w:tcPr>
          <w:p w14:paraId="2FB455C5" w14:textId="2E8AA029" w:rsidR="006D1E6E" w:rsidRPr="00DD4199" w:rsidRDefault="00DD4199" w:rsidP="008A7857">
            <w:pPr>
              <w:ind w:firstLine="0"/>
              <w:jc w:val="left"/>
              <w:rPr>
                <w:b/>
                <w:sz w:val="18"/>
                <w:szCs w:val="18"/>
              </w:rPr>
            </w:pPr>
            <w:r>
              <w:rPr>
                <w:b/>
                <w:sz w:val="18"/>
                <w:szCs w:val="18"/>
              </w:rPr>
              <w:t xml:space="preserve">6. </w:t>
            </w:r>
            <w:r w:rsidR="006D1E6E" w:rsidRPr="00DD4199">
              <w:rPr>
                <w:b/>
                <w:sz w:val="18"/>
                <w:szCs w:val="18"/>
              </w:rPr>
              <w:t>Ārpakalpojums vai pārstāvji</w:t>
            </w:r>
          </w:p>
        </w:tc>
        <w:tc>
          <w:tcPr>
            <w:tcW w:w="2410" w:type="dxa"/>
            <w:tcBorders>
              <w:top w:val="single" w:sz="4" w:space="0" w:color="auto"/>
              <w:bottom w:val="single" w:sz="4" w:space="0" w:color="auto"/>
            </w:tcBorders>
          </w:tcPr>
          <w:p w14:paraId="344B4474"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468DE078" w14:textId="6F795EC8" w:rsidR="006D1E6E" w:rsidRPr="006D1E6E"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tcPr>
          <w:p w14:paraId="4BE93CA0" w14:textId="77777777" w:rsidR="006D1E6E"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4DC7A895" w14:textId="77777777" w:rsidR="006D1E6E" w:rsidRPr="008527D7" w:rsidRDefault="006D1E6E" w:rsidP="00B86CE7">
            <w:pPr>
              <w:ind w:firstLine="0"/>
              <w:jc w:val="center"/>
              <w:rPr>
                <w:sz w:val="28"/>
                <w:szCs w:val="28"/>
              </w:rPr>
            </w:pPr>
          </w:p>
        </w:tc>
      </w:tr>
      <w:tr w:rsidR="007A2CA8" w:rsidRPr="008527D7" w14:paraId="1E4D92F8" w14:textId="77777777" w:rsidTr="00DD4199">
        <w:trPr>
          <w:trHeight w:val="698"/>
        </w:trPr>
        <w:tc>
          <w:tcPr>
            <w:tcW w:w="1717" w:type="dxa"/>
            <w:gridSpan w:val="2"/>
            <w:tcBorders>
              <w:top w:val="single" w:sz="4" w:space="0" w:color="auto"/>
              <w:left w:val="single" w:sz="4" w:space="0" w:color="auto"/>
              <w:bottom w:val="single" w:sz="4" w:space="0" w:color="auto"/>
            </w:tcBorders>
          </w:tcPr>
          <w:p w14:paraId="26A72EFE" w14:textId="388C4F14" w:rsidR="007A2CA8" w:rsidRPr="00EF2648" w:rsidRDefault="007A2CA8" w:rsidP="007A2CA8">
            <w:pPr>
              <w:ind w:firstLine="0"/>
              <w:jc w:val="left"/>
              <w:rPr>
                <w:b/>
                <w:sz w:val="18"/>
                <w:szCs w:val="18"/>
              </w:rPr>
            </w:pPr>
            <w:r w:rsidRPr="00151E16">
              <w:rPr>
                <w:b/>
                <w:sz w:val="18"/>
                <w:szCs w:val="18"/>
              </w:rPr>
              <w:t>KIL</w:t>
            </w:r>
            <w:r w:rsidR="00555B4F">
              <w:rPr>
                <w:rStyle w:val="FootnoteReference"/>
                <w:b/>
                <w:sz w:val="18"/>
                <w:szCs w:val="18"/>
              </w:rPr>
              <w:footnoteReference w:id="1"/>
            </w:r>
            <w:r w:rsidRPr="00151E16">
              <w:rPr>
                <w:b/>
                <w:sz w:val="18"/>
                <w:szCs w:val="18"/>
              </w:rPr>
              <w:t xml:space="preserve"> 35.</w:t>
            </w:r>
            <w:r w:rsidRPr="00151E16">
              <w:rPr>
                <w:b/>
                <w:sz w:val="18"/>
                <w:szCs w:val="18"/>
                <w:vertAlign w:val="superscript"/>
              </w:rPr>
              <w:t>26</w:t>
            </w:r>
            <w:r w:rsidRPr="00EA1D99">
              <w:rPr>
                <w:sz w:val="18"/>
                <w:szCs w:val="18"/>
              </w:rPr>
              <w:t xml:space="preserve">, </w:t>
            </w:r>
            <w:r w:rsidRPr="00151E16">
              <w:rPr>
                <w:b/>
                <w:sz w:val="18"/>
                <w:szCs w:val="18"/>
              </w:rPr>
              <w:t>35.</w:t>
            </w:r>
            <w:r w:rsidRPr="00151E16">
              <w:rPr>
                <w:b/>
                <w:sz w:val="18"/>
                <w:szCs w:val="18"/>
                <w:vertAlign w:val="superscript"/>
              </w:rPr>
              <w:t>27</w:t>
            </w:r>
            <w:r w:rsidRPr="00151E16">
              <w:rPr>
                <w:b/>
                <w:sz w:val="18"/>
                <w:szCs w:val="18"/>
              </w:rPr>
              <w:t xml:space="preserve"> vai 35.</w:t>
            </w:r>
            <w:r w:rsidRPr="00151E16">
              <w:rPr>
                <w:b/>
                <w:sz w:val="18"/>
                <w:szCs w:val="18"/>
                <w:vertAlign w:val="superscript"/>
              </w:rPr>
              <w:t>28</w:t>
            </w:r>
            <w:r w:rsidRPr="00EF2648">
              <w:rPr>
                <w:sz w:val="18"/>
                <w:szCs w:val="18"/>
                <w:vertAlign w:val="superscript"/>
              </w:rPr>
              <w:t xml:space="preserve"> </w:t>
            </w:r>
            <w:r w:rsidRPr="00EF2648">
              <w:rPr>
                <w:b/>
                <w:sz w:val="18"/>
                <w:szCs w:val="18"/>
              </w:rPr>
              <w:t>pant</w:t>
            </w:r>
            <w:r w:rsidR="007D4AFA">
              <w:rPr>
                <w:b/>
                <w:sz w:val="18"/>
                <w:szCs w:val="18"/>
              </w:rPr>
              <w:t>s</w:t>
            </w:r>
            <w:r w:rsidRPr="00EF2648">
              <w:rPr>
                <w:b/>
                <w:sz w:val="18"/>
                <w:szCs w:val="18"/>
              </w:rPr>
              <w:t xml:space="preserve"> </w:t>
            </w:r>
          </w:p>
        </w:tc>
        <w:tc>
          <w:tcPr>
            <w:tcW w:w="2409" w:type="dxa"/>
            <w:tcBorders>
              <w:top w:val="single" w:sz="4" w:space="0" w:color="auto"/>
              <w:right w:val="single" w:sz="4" w:space="0" w:color="auto"/>
            </w:tcBorders>
          </w:tcPr>
          <w:p w14:paraId="76C28150" w14:textId="79C2922C" w:rsidR="007A2CA8" w:rsidRDefault="007A2CA8" w:rsidP="007A2CA8">
            <w:pPr>
              <w:ind w:firstLine="0"/>
              <w:jc w:val="left"/>
              <w:rPr>
                <w:i/>
                <w:sz w:val="18"/>
                <w:szCs w:val="18"/>
              </w:rPr>
            </w:pPr>
            <w:r>
              <w:rPr>
                <w:b/>
                <w:sz w:val="18"/>
                <w:szCs w:val="18"/>
              </w:rPr>
              <w:t xml:space="preserve">7. </w:t>
            </w:r>
            <w:r w:rsidRPr="008A1934">
              <w:rPr>
                <w:b/>
                <w:sz w:val="18"/>
                <w:szCs w:val="18"/>
              </w:rPr>
              <w:t xml:space="preserve">Noteikto regulējošo rādītāju neievērošana </w:t>
            </w:r>
          </w:p>
          <w:p w14:paraId="1EE7DF5D" w14:textId="77777777" w:rsidR="007A2CA8" w:rsidRPr="008A1934" w:rsidRDefault="007A2CA8" w:rsidP="007A2CA8">
            <w:pPr>
              <w:ind w:firstLine="0"/>
              <w:jc w:val="left"/>
              <w:rPr>
                <w:sz w:val="18"/>
                <w:szCs w:val="18"/>
              </w:rPr>
            </w:pPr>
          </w:p>
        </w:tc>
        <w:tc>
          <w:tcPr>
            <w:tcW w:w="2410" w:type="dxa"/>
            <w:tcBorders>
              <w:top w:val="single" w:sz="4" w:space="0" w:color="auto"/>
              <w:left w:val="single" w:sz="4" w:space="0" w:color="auto"/>
              <w:right w:val="single" w:sz="4" w:space="0" w:color="auto"/>
            </w:tcBorders>
          </w:tcPr>
          <w:p w14:paraId="4070ABA8" w14:textId="77777777" w:rsidR="007A2CA8" w:rsidRPr="008527D7" w:rsidRDefault="007A2CA8" w:rsidP="007A2CA8">
            <w:pPr>
              <w:ind w:firstLine="0"/>
              <w:jc w:val="center"/>
              <w:rPr>
                <w:sz w:val="28"/>
                <w:szCs w:val="28"/>
              </w:rPr>
            </w:pPr>
          </w:p>
        </w:tc>
        <w:tc>
          <w:tcPr>
            <w:tcW w:w="2410" w:type="dxa"/>
            <w:tcBorders>
              <w:top w:val="single" w:sz="4" w:space="0" w:color="auto"/>
              <w:left w:val="single" w:sz="4" w:space="0" w:color="auto"/>
              <w:right w:val="single" w:sz="4" w:space="0" w:color="auto"/>
            </w:tcBorders>
          </w:tcPr>
          <w:p w14:paraId="3D7620B3" w14:textId="77777777" w:rsidR="007A2CA8" w:rsidRPr="008527D7" w:rsidRDefault="007A2CA8" w:rsidP="007A2CA8">
            <w:pPr>
              <w:ind w:firstLine="0"/>
              <w:jc w:val="center"/>
              <w:rPr>
                <w:sz w:val="28"/>
                <w:szCs w:val="28"/>
              </w:rPr>
            </w:pPr>
          </w:p>
        </w:tc>
        <w:tc>
          <w:tcPr>
            <w:tcW w:w="2410" w:type="dxa"/>
            <w:tcBorders>
              <w:top w:val="single" w:sz="4" w:space="0" w:color="auto"/>
              <w:left w:val="single" w:sz="4" w:space="0" w:color="auto"/>
              <w:right w:val="single" w:sz="4" w:space="0" w:color="auto"/>
            </w:tcBorders>
          </w:tcPr>
          <w:p w14:paraId="77D1569B" w14:textId="77777777" w:rsidR="007A2CA8" w:rsidRPr="00E44DC3" w:rsidRDefault="007A2CA8" w:rsidP="007A2CA8">
            <w:pPr>
              <w:ind w:firstLine="0"/>
              <w:jc w:val="center"/>
              <w:rPr>
                <w:sz w:val="28"/>
                <w:szCs w:val="28"/>
              </w:rPr>
            </w:pPr>
            <w:r w:rsidRPr="00E44DC3">
              <w:rPr>
                <w:sz w:val="28"/>
                <w:szCs w:val="28"/>
              </w:rPr>
              <w:t>X</w:t>
            </w:r>
          </w:p>
        </w:tc>
        <w:tc>
          <w:tcPr>
            <w:tcW w:w="2409" w:type="dxa"/>
            <w:tcBorders>
              <w:top w:val="single" w:sz="4" w:space="0" w:color="auto"/>
              <w:left w:val="single" w:sz="4" w:space="0" w:color="auto"/>
              <w:right w:val="single" w:sz="4" w:space="0" w:color="auto"/>
            </w:tcBorders>
          </w:tcPr>
          <w:p w14:paraId="34F46182" w14:textId="77777777" w:rsidR="007A2CA8" w:rsidRPr="008527D7" w:rsidRDefault="007A2CA8" w:rsidP="007A2CA8">
            <w:pPr>
              <w:ind w:firstLine="0"/>
              <w:jc w:val="center"/>
              <w:rPr>
                <w:sz w:val="28"/>
                <w:szCs w:val="28"/>
              </w:rPr>
            </w:pPr>
          </w:p>
        </w:tc>
      </w:tr>
      <w:tr w:rsidR="007A2CA8" w:rsidRPr="008527D7" w14:paraId="0FD7F1E1" w14:textId="77777777" w:rsidTr="00DD4199">
        <w:trPr>
          <w:trHeight w:val="1984"/>
        </w:trPr>
        <w:tc>
          <w:tcPr>
            <w:tcW w:w="1717" w:type="dxa"/>
            <w:gridSpan w:val="2"/>
            <w:tcBorders>
              <w:top w:val="single" w:sz="4" w:space="0" w:color="auto"/>
              <w:left w:val="single" w:sz="4" w:space="0" w:color="auto"/>
              <w:bottom w:val="single" w:sz="4" w:space="0" w:color="auto"/>
            </w:tcBorders>
          </w:tcPr>
          <w:p w14:paraId="210BE64C" w14:textId="0470FE4C" w:rsidR="007A2CA8" w:rsidRPr="005B7BC4" w:rsidRDefault="007D4AFA" w:rsidP="007A2CA8">
            <w:pPr>
              <w:ind w:firstLine="0"/>
              <w:jc w:val="left"/>
              <w:rPr>
                <w:b/>
                <w:sz w:val="18"/>
                <w:szCs w:val="18"/>
              </w:rPr>
            </w:pPr>
            <w:r w:rsidRPr="005B7BC4">
              <w:rPr>
                <w:b/>
                <w:sz w:val="18"/>
                <w:szCs w:val="18"/>
              </w:rPr>
              <w:t>R</w:t>
            </w:r>
            <w:r w:rsidR="007A2CA8" w:rsidRPr="005B7BC4">
              <w:rPr>
                <w:b/>
                <w:sz w:val="18"/>
                <w:szCs w:val="18"/>
              </w:rPr>
              <w:t>egulas Nr.</w:t>
            </w:r>
            <w:r w:rsidRPr="005B7BC4">
              <w:rPr>
                <w:b/>
                <w:sz w:val="18"/>
                <w:szCs w:val="18"/>
              </w:rPr>
              <w:t> </w:t>
            </w:r>
            <w:r w:rsidR="007A2CA8" w:rsidRPr="005B7BC4">
              <w:rPr>
                <w:b/>
                <w:sz w:val="18"/>
                <w:szCs w:val="18"/>
              </w:rPr>
              <w:t>575/2013</w:t>
            </w:r>
            <w:r w:rsidR="00927C24" w:rsidRPr="008A7857">
              <w:rPr>
                <w:rStyle w:val="FootnoteReference"/>
                <w:b/>
                <w:sz w:val="18"/>
                <w:szCs w:val="18"/>
              </w:rPr>
              <w:footnoteReference w:id="2"/>
            </w:r>
            <w:r w:rsidR="007A2CA8" w:rsidRPr="005B7BC4">
              <w:rPr>
                <w:b/>
                <w:sz w:val="18"/>
                <w:szCs w:val="18"/>
              </w:rPr>
              <w:t xml:space="preserve"> </w:t>
            </w:r>
          </w:p>
          <w:p w14:paraId="608EBFE8" w14:textId="7DD8506B" w:rsidR="007A2CA8" w:rsidRPr="005B7BC4" w:rsidRDefault="007A2CA8" w:rsidP="007A2CA8">
            <w:pPr>
              <w:ind w:firstLine="0"/>
              <w:jc w:val="left"/>
              <w:rPr>
                <w:b/>
                <w:sz w:val="18"/>
                <w:szCs w:val="18"/>
              </w:rPr>
            </w:pPr>
            <w:r w:rsidRPr="005B7BC4">
              <w:rPr>
                <w:b/>
                <w:sz w:val="18"/>
                <w:szCs w:val="18"/>
              </w:rPr>
              <w:t>28., 52. vai 63.</w:t>
            </w:r>
            <w:r w:rsidR="00534E76">
              <w:rPr>
                <w:b/>
                <w:sz w:val="18"/>
                <w:szCs w:val="18"/>
              </w:rPr>
              <w:t> </w:t>
            </w:r>
            <w:r w:rsidR="005527FE">
              <w:rPr>
                <w:b/>
                <w:sz w:val="18"/>
                <w:szCs w:val="18"/>
              </w:rPr>
              <w:t>pants,</w:t>
            </w:r>
          </w:p>
          <w:p w14:paraId="45977E01" w14:textId="67E42AB5" w:rsidR="007A2CA8" w:rsidRPr="005B7BC4" w:rsidRDefault="007A2CA8" w:rsidP="007A2CA8">
            <w:pPr>
              <w:ind w:firstLine="0"/>
              <w:jc w:val="left"/>
              <w:rPr>
                <w:b/>
                <w:sz w:val="18"/>
                <w:szCs w:val="18"/>
              </w:rPr>
            </w:pPr>
            <w:r w:rsidRPr="005B7BC4">
              <w:rPr>
                <w:b/>
                <w:sz w:val="18"/>
                <w:szCs w:val="18"/>
              </w:rPr>
              <w:t>394.</w:t>
            </w:r>
            <w:r w:rsidR="005527FE">
              <w:rPr>
                <w:b/>
                <w:sz w:val="18"/>
                <w:szCs w:val="18"/>
              </w:rPr>
              <w:t xml:space="preserve"> panta </w:t>
            </w:r>
            <w:r w:rsidRPr="005B7BC4">
              <w:rPr>
                <w:b/>
                <w:sz w:val="18"/>
                <w:szCs w:val="18"/>
              </w:rPr>
              <w:t>1.</w:t>
            </w:r>
            <w:r w:rsidR="005527FE">
              <w:rPr>
                <w:b/>
                <w:sz w:val="18"/>
                <w:szCs w:val="18"/>
              </w:rPr>
              <w:t> punkts</w:t>
            </w:r>
            <w:r w:rsidRPr="005B7BC4">
              <w:rPr>
                <w:b/>
                <w:sz w:val="18"/>
                <w:szCs w:val="18"/>
              </w:rPr>
              <w:t>, 395.</w:t>
            </w:r>
            <w:r w:rsidR="00534E76">
              <w:rPr>
                <w:b/>
                <w:sz w:val="18"/>
                <w:szCs w:val="18"/>
              </w:rPr>
              <w:t> </w:t>
            </w:r>
            <w:r w:rsidR="005527FE">
              <w:rPr>
                <w:b/>
                <w:sz w:val="18"/>
                <w:szCs w:val="18"/>
              </w:rPr>
              <w:t>pants,</w:t>
            </w:r>
            <w:r w:rsidRPr="005B7BC4">
              <w:rPr>
                <w:sz w:val="18"/>
                <w:szCs w:val="18"/>
              </w:rPr>
              <w:t xml:space="preserve"> </w:t>
            </w:r>
          </w:p>
          <w:p w14:paraId="5FC9CD9E" w14:textId="53FB126A" w:rsidR="007A2CA8" w:rsidRPr="005B7BC4" w:rsidRDefault="007A2CA8" w:rsidP="007A2CA8">
            <w:pPr>
              <w:ind w:firstLine="0"/>
              <w:jc w:val="left"/>
              <w:rPr>
                <w:sz w:val="18"/>
                <w:szCs w:val="18"/>
              </w:rPr>
            </w:pPr>
            <w:r w:rsidRPr="005B7BC4">
              <w:rPr>
                <w:b/>
                <w:sz w:val="18"/>
                <w:szCs w:val="18"/>
              </w:rPr>
              <w:t>412.</w:t>
            </w:r>
            <w:r w:rsidR="00534E76">
              <w:rPr>
                <w:b/>
                <w:sz w:val="18"/>
                <w:szCs w:val="18"/>
              </w:rPr>
              <w:t xml:space="preserve"> pants</w:t>
            </w:r>
            <w:r w:rsidR="005B7BC4" w:rsidRPr="008A7857">
              <w:rPr>
                <w:b/>
                <w:sz w:val="18"/>
                <w:szCs w:val="18"/>
              </w:rPr>
              <w:t>,</w:t>
            </w:r>
            <w:r w:rsidRPr="005B7BC4">
              <w:rPr>
                <w:sz w:val="18"/>
                <w:szCs w:val="18"/>
              </w:rPr>
              <w:t xml:space="preserve">  </w:t>
            </w:r>
          </w:p>
          <w:p w14:paraId="0257F5BF" w14:textId="37474423" w:rsidR="00534E76" w:rsidRDefault="007A2CA8" w:rsidP="007A2CA8">
            <w:pPr>
              <w:ind w:firstLine="0"/>
              <w:jc w:val="left"/>
              <w:rPr>
                <w:b/>
                <w:bCs/>
                <w:sz w:val="18"/>
                <w:szCs w:val="18"/>
              </w:rPr>
            </w:pPr>
            <w:r w:rsidRPr="005B7BC4">
              <w:rPr>
                <w:b/>
                <w:sz w:val="18"/>
                <w:szCs w:val="18"/>
              </w:rPr>
              <w:t>415.</w:t>
            </w:r>
            <w:r w:rsidR="00534E76">
              <w:rPr>
                <w:b/>
                <w:sz w:val="18"/>
                <w:szCs w:val="18"/>
              </w:rPr>
              <w:t xml:space="preserve"> panta </w:t>
            </w:r>
            <w:r w:rsidRPr="005B7BC4">
              <w:rPr>
                <w:b/>
                <w:sz w:val="18"/>
                <w:szCs w:val="18"/>
              </w:rPr>
              <w:t>1.</w:t>
            </w:r>
            <w:r w:rsidRPr="005B7BC4">
              <w:rPr>
                <w:sz w:val="18"/>
                <w:szCs w:val="18"/>
              </w:rPr>
              <w:t xml:space="preserve"> </w:t>
            </w:r>
            <w:r w:rsidRPr="005B7BC4">
              <w:rPr>
                <w:b/>
                <w:bCs/>
                <w:sz w:val="18"/>
                <w:szCs w:val="18"/>
              </w:rPr>
              <w:t>un 2.</w:t>
            </w:r>
            <w:r w:rsidR="00534E76">
              <w:rPr>
                <w:b/>
                <w:bCs/>
                <w:sz w:val="18"/>
                <w:szCs w:val="18"/>
              </w:rPr>
              <w:t> </w:t>
            </w:r>
            <w:r w:rsidRPr="005B7BC4">
              <w:rPr>
                <w:b/>
                <w:bCs/>
                <w:sz w:val="18"/>
                <w:szCs w:val="18"/>
              </w:rPr>
              <w:t>p</w:t>
            </w:r>
            <w:r w:rsidR="005527FE">
              <w:rPr>
                <w:b/>
                <w:bCs/>
                <w:sz w:val="18"/>
                <w:szCs w:val="18"/>
              </w:rPr>
              <w:t>unkts</w:t>
            </w:r>
            <w:r w:rsidR="00534E76">
              <w:rPr>
                <w:b/>
                <w:bCs/>
                <w:sz w:val="18"/>
                <w:szCs w:val="18"/>
              </w:rPr>
              <w:t xml:space="preserve">, </w:t>
            </w:r>
          </w:p>
          <w:p w14:paraId="5BE21DC2" w14:textId="440DB926" w:rsidR="007A2CA8" w:rsidRPr="005B7BC4" w:rsidRDefault="00534E76" w:rsidP="007A2CA8">
            <w:pPr>
              <w:ind w:firstLine="0"/>
              <w:jc w:val="left"/>
              <w:rPr>
                <w:b/>
                <w:bCs/>
                <w:sz w:val="18"/>
                <w:szCs w:val="18"/>
              </w:rPr>
            </w:pPr>
            <w:r w:rsidRPr="005B7BC4">
              <w:rPr>
                <w:b/>
                <w:sz w:val="18"/>
                <w:szCs w:val="18"/>
              </w:rPr>
              <w:t>430.</w:t>
            </w:r>
            <w:r>
              <w:rPr>
                <w:b/>
                <w:sz w:val="18"/>
                <w:szCs w:val="18"/>
              </w:rPr>
              <w:t xml:space="preserve"> panta </w:t>
            </w:r>
            <w:r w:rsidRPr="005B7BC4">
              <w:rPr>
                <w:b/>
                <w:sz w:val="18"/>
                <w:szCs w:val="18"/>
              </w:rPr>
              <w:t>1.</w:t>
            </w:r>
            <w:r>
              <w:rPr>
                <w:b/>
                <w:sz w:val="18"/>
                <w:szCs w:val="18"/>
              </w:rPr>
              <w:t> punkts</w:t>
            </w:r>
          </w:p>
          <w:p w14:paraId="23DB0E36" w14:textId="77777777" w:rsidR="00927C24" w:rsidRPr="008A7857" w:rsidRDefault="00927C24" w:rsidP="007A2CA8">
            <w:pPr>
              <w:ind w:firstLine="0"/>
              <w:jc w:val="left"/>
              <w:rPr>
                <w:b/>
                <w:bCs/>
                <w:sz w:val="18"/>
                <w:szCs w:val="18"/>
              </w:rPr>
            </w:pPr>
          </w:p>
          <w:p w14:paraId="0C9C82E2" w14:textId="4763DCAF" w:rsidR="007A2CA8" w:rsidRPr="005B7BC4" w:rsidRDefault="007A2CA8" w:rsidP="007A2CA8">
            <w:pPr>
              <w:ind w:firstLine="0"/>
              <w:jc w:val="left"/>
              <w:rPr>
                <w:b/>
                <w:bCs/>
                <w:sz w:val="18"/>
                <w:szCs w:val="18"/>
              </w:rPr>
            </w:pPr>
            <w:r w:rsidRPr="005B7BC4">
              <w:rPr>
                <w:b/>
                <w:bCs/>
                <w:sz w:val="18"/>
                <w:szCs w:val="18"/>
              </w:rPr>
              <w:t>Regulas 2019/876</w:t>
            </w:r>
            <w:r w:rsidR="00C77F1D" w:rsidRPr="008A7857">
              <w:rPr>
                <w:rStyle w:val="FootnoteReference"/>
                <w:b/>
                <w:bCs/>
                <w:sz w:val="18"/>
                <w:szCs w:val="18"/>
              </w:rPr>
              <w:footnoteReference w:id="3"/>
            </w:r>
            <w:r w:rsidRPr="005B7BC4">
              <w:rPr>
                <w:b/>
                <w:bCs/>
                <w:sz w:val="18"/>
                <w:szCs w:val="18"/>
              </w:rPr>
              <w:t xml:space="preserve"> 44. p</w:t>
            </w:r>
            <w:r w:rsidR="005527FE">
              <w:rPr>
                <w:b/>
                <w:bCs/>
                <w:sz w:val="18"/>
                <w:szCs w:val="18"/>
              </w:rPr>
              <w:t>ants</w:t>
            </w:r>
          </w:p>
          <w:p w14:paraId="6B55BEB0" w14:textId="77777777" w:rsidR="007A2CA8" w:rsidRPr="005B7BC4" w:rsidRDefault="007A2CA8" w:rsidP="007A2CA8">
            <w:pPr>
              <w:ind w:firstLine="0"/>
              <w:jc w:val="left"/>
              <w:rPr>
                <w:sz w:val="18"/>
                <w:szCs w:val="18"/>
              </w:rPr>
            </w:pPr>
          </w:p>
        </w:tc>
        <w:tc>
          <w:tcPr>
            <w:tcW w:w="2409" w:type="dxa"/>
            <w:tcBorders>
              <w:top w:val="single" w:sz="4" w:space="0" w:color="auto"/>
            </w:tcBorders>
          </w:tcPr>
          <w:p w14:paraId="538154AE" w14:textId="5D1605DB" w:rsidR="007A2CA8" w:rsidRPr="008A1934" w:rsidRDefault="007A2CA8" w:rsidP="007A2CA8">
            <w:pPr>
              <w:ind w:firstLine="0"/>
              <w:jc w:val="left"/>
              <w:rPr>
                <w:b/>
                <w:sz w:val="18"/>
                <w:szCs w:val="18"/>
              </w:rPr>
            </w:pPr>
            <w:r>
              <w:rPr>
                <w:b/>
                <w:sz w:val="18"/>
                <w:szCs w:val="18"/>
              </w:rPr>
              <w:t xml:space="preserve">8. </w:t>
            </w:r>
            <w:r w:rsidRPr="008A1934">
              <w:rPr>
                <w:b/>
                <w:sz w:val="18"/>
                <w:szCs w:val="18"/>
              </w:rPr>
              <w:t>Noteikto prasību (pienākumu) neievērošana, aprēķinot attiecīgos regulējošo</w:t>
            </w:r>
            <w:r w:rsidR="00C77F1D">
              <w:rPr>
                <w:b/>
                <w:sz w:val="18"/>
                <w:szCs w:val="18"/>
              </w:rPr>
              <w:t>s</w:t>
            </w:r>
            <w:r w:rsidRPr="008A1934">
              <w:rPr>
                <w:b/>
                <w:sz w:val="18"/>
                <w:szCs w:val="18"/>
              </w:rPr>
              <w:t xml:space="preserve"> rādītājus </w:t>
            </w:r>
          </w:p>
          <w:p w14:paraId="239A8309" w14:textId="77777777" w:rsidR="007A2CA8" w:rsidRDefault="007A2CA8" w:rsidP="007A2CA8">
            <w:pPr>
              <w:ind w:firstLine="0"/>
              <w:jc w:val="left"/>
              <w:rPr>
                <w:i/>
                <w:sz w:val="18"/>
                <w:szCs w:val="18"/>
              </w:rPr>
            </w:pPr>
          </w:p>
          <w:p w14:paraId="79A1B25A" w14:textId="77777777" w:rsidR="007A2CA8" w:rsidRPr="008A1934" w:rsidRDefault="007A2CA8" w:rsidP="007A2CA8">
            <w:pPr>
              <w:ind w:firstLine="0"/>
              <w:jc w:val="left"/>
              <w:rPr>
                <w:sz w:val="18"/>
                <w:szCs w:val="18"/>
              </w:rPr>
            </w:pPr>
          </w:p>
        </w:tc>
        <w:tc>
          <w:tcPr>
            <w:tcW w:w="2410" w:type="dxa"/>
            <w:tcBorders>
              <w:top w:val="single" w:sz="4" w:space="0" w:color="auto"/>
            </w:tcBorders>
          </w:tcPr>
          <w:p w14:paraId="4B442ED7" w14:textId="77777777" w:rsidR="007A2CA8" w:rsidRPr="008527D7" w:rsidRDefault="007A2CA8" w:rsidP="007A2CA8">
            <w:pPr>
              <w:ind w:firstLine="0"/>
              <w:jc w:val="center"/>
              <w:rPr>
                <w:sz w:val="28"/>
                <w:szCs w:val="28"/>
              </w:rPr>
            </w:pPr>
          </w:p>
        </w:tc>
        <w:tc>
          <w:tcPr>
            <w:tcW w:w="2410" w:type="dxa"/>
            <w:tcBorders>
              <w:top w:val="single" w:sz="4" w:space="0" w:color="auto"/>
            </w:tcBorders>
          </w:tcPr>
          <w:p w14:paraId="11C5C999" w14:textId="77777777" w:rsidR="007A2CA8" w:rsidRPr="008527D7" w:rsidRDefault="007A2CA8" w:rsidP="007A2CA8">
            <w:pPr>
              <w:ind w:firstLine="0"/>
              <w:jc w:val="center"/>
              <w:rPr>
                <w:sz w:val="28"/>
                <w:szCs w:val="28"/>
              </w:rPr>
            </w:pPr>
          </w:p>
        </w:tc>
        <w:tc>
          <w:tcPr>
            <w:tcW w:w="2410" w:type="dxa"/>
            <w:tcBorders>
              <w:top w:val="single" w:sz="4" w:space="0" w:color="auto"/>
            </w:tcBorders>
          </w:tcPr>
          <w:p w14:paraId="6BD39DBD" w14:textId="77777777" w:rsidR="007A2CA8" w:rsidRDefault="007A2CA8" w:rsidP="007A2CA8">
            <w:pPr>
              <w:ind w:firstLine="0"/>
              <w:jc w:val="center"/>
              <w:rPr>
                <w:b/>
                <w:bCs/>
                <w:sz w:val="28"/>
                <w:szCs w:val="28"/>
              </w:rPr>
            </w:pPr>
          </w:p>
          <w:p w14:paraId="30574D7A" w14:textId="77777777" w:rsidR="007A2CA8" w:rsidRDefault="007A2CA8" w:rsidP="007A2CA8">
            <w:pPr>
              <w:ind w:firstLine="0"/>
              <w:jc w:val="center"/>
              <w:rPr>
                <w:b/>
                <w:bCs/>
                <w:sz w:val="28"/>
                <w:szCs w:val="28"/>
              </w:rPr>
            </w:pPr>
          </w:p>
          <w:p w14:paraId="204417DD" w14:textId="0554E121" w:rsidR="007A2CA8" w:rsidRPr="008527D7" w:rsidRDefault="007A2CA8" w:rsidP="007A2CA8">
            <w:pPr>
              <w:ind w:firstLine="0"/>
              <w:jc w:val="center"/>
              <w:rPr>
                <w:b/>
                <w:bCs/>
                <w:sz w:val="28"/>
                <w:szCs w:val="28"/>
              </w:rPr>
            </w:pPr>
            <w:r w:rsidRPr="00E44DC3">
              <w:rPr>
                <w:sz w:val="28"/>
                <w:szCs w:val="28"/>
              </w:rPr>
              <w:t>X</w:t>
            </w:r>
          </w:p>
        </w:tc>
        <w:tc>
          <w:tcPr>
            <w:tcW w:w="2409" w:type="dxa"/>
            <w:tcBorders>
              <w:top w:val="single" w:sz="4" w:space="0" w:color="auto"/>
              <w:right w:val="single" w:sz="4" w:space="0" w:color="auto"/>
            </w:tcBorders>
          </w:tcPr>
          <w:p w14:paraId="6F544B41" w14:textId="77777777" w:rsidR="007A2CA8" w:rsidRPr="008527D7" w:rsidRDefault="007A2CA8" w:rsidP="007A2CA8">
            <w:pPr>
              <w:ind w:firstLine="0"/>
              <w:jc w:val="center"/>
              <w:rPr>
                <w:sz w:val="28"/>
                <w:szCs w:val="28"/>
              </w:rPr>
            </w:pPr>
          </w:p>
        </w:tc>
      </w:tr>
      <w:tr w:rsidR="007A2CA8" w:rsidRPr="008527D7" w14:paraId="24A66C0F" w14:textId="77777777" w:rsidTr="00DD4199">
        <w:trPr>
          <w:trHeight w:val="728"/>
        </w:trPr>
        <w:tc>
          <w:tcPr>
            <w:tcW w:w="1717" w:type="dxa"/>
            <w:gridSpan w:val="2"/>
            <w:tcBorders>
              <w:top w:val="single" w:sz="4" w:space="0" w:color="auto"/>
              <w:left w:val="single" w:sz="4" w:space="0" w:color="auto"/>
              <w:bottom w:val="single" w:sz="4" w:space="0" w:color="auto"/>
              <w:right w:val="single" w:sz="4" w:space="0" w:color="auto"/>
            </w:tcBorders>
          </w:tcPr>
          <w:p w14:paraId="24F3AE16" w14:textId="258C86C1" w:rsidR="007A2CA8" w:rsidRPr="0036373E" w:rsidRDefault="007A2CA8" w:rsidP="007A2CA8">
            <w:pPr>
              <w:ind w:firstLine="0"/>
              <w:jc w:val="left"/>
              <w:rPr>
                <w:b/>
                <w:sz w:val="18"/>
                <w:szCs w:val="18"/>
              </w:rPr>
            </w:pPr>
            <w:r w:rsidRPr="00170B8F">
              <w:rPr>
                <w:b/>
                <w:sz w:val="18"/>
                <w:szCs w:val="18"/>
              </w:rPr>
              <w:t xml:space="preserve">KIL 198. </w:t>
            </w:r>
            <w:r w:rsidR="00FE3E18">
              <w:rPr>
                <w:b/>
                <w:sz w:val="18"/>
                <w:szCs w:val="18"/>
              </w:rPr>
              <w:t xml:space="preserve">(5) (6) </w:t>
            </w:r>
            <w:r w:rsidRPr="00170B8F">
              <w:rPr>
                <w:b/>
                <w:sz w:val="18"/>
                <w:szCs w:val="18"/>
              </w:rPr>
              <w:t>pant</w:t>
            </w:r>
            <w:r w:rsidR="00FE3E18">
              <w:rPr>
                <w:b/>
                <w:sz w:val="18"/>
                <w:szCs w:val="18"/>
              </w:rPr>
              <w:t>s</w:t>
            </w:r>
            <w:r>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tcPr>
          <w:p w14:paraId="336A3E50" w14:textId="2D82494D" w:rsidR="007A2CA8" w:rsidRPr="00F1232A" w:rsidRDefault="007A2CA8" w:rsidP="007A2CA8">
            <w:pPr>
              <w:ind w:firstLine="0"/>
              <w:jc w:val="left"/>
              <w:rPr>
                <w:b/>
                <w:sz w:val="18"/>
                <w:szCs w:val="18"/>
              </w:rPr>
            </w:pPr>
            <w:r>
              <w:rPr>
                <w:b/>
                <w:sz w:val="18"/>
                <w:szCs w:val="18"/>
              </w:rPr>
              <w:t xml:space="preserve">9. </w:t>
            </w:r>
            <w:r w:rsidRPr="00F1232A">
              <w:rPr>
                <w:b/>
                <w:sz w:val="18"/>
                <w:szCs w:val="18"/>
              </w:rPr>
              <w:t>Kreditēšanas noteikumu pārkāpumi</w:t>
            </w:r>
          </w:p>
        </w:tc>
        <w:tc>
          <w:tcPr>
            <w:tcW w:w="2410" w:type="dxa"/>
            <w:tcBorders>
              <w:top w:val="single" w:sz="4" w:space="0" w:color="auto"/>
              <w:left w:val="single" w:sz="4" w:space="0" w:color="auto"/>
              <w:bottom w:val="single" w:sz="4" w:space="0" w:color="auto"/>
              <w:right w:val="single" w:sz="4" w:space="0" w:color="auto"/>
            </w:tcBorders>
          </w:tcPr>
          <w:p w14:paraId="0DE53F02" w14:textId="77777777" w:rsidR="007A2CA8" w:rsidRPr="00E44DC3" w:rsidRDefault="007A2CA8" w:rsidP="007A2CA8">
            <w:pPr>
              <w:ind w:firstLine="0"/>
              <w:jc w:val="center"/>
              <w:rPr>
                <w:sz w:val="28"/>
                <w:szCs w:val="28"/>
              </w:rPr>
            </w:pPr>
            <w:r w:rsidRPr="00E44DC3">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2EAEEF31"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81AFEE0" w14:textId="77777777" w:rsidR="007A2CA8" w:rsidRPr="008527D7" w:rsidRDefault="007A2CA8" w:rsidP="007A2CA8">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EB08336" w14:textId="77777777" w:rsidR="007A2CA8" w:rsidRPr="008527D7" w:rsidRDefault="007A2CA8" w:rsidP="007A2CA8">
            <w:pPr>
              <w:ind w:firstLine="0"/>
              <w:jc w:val="center"/>
              <w:rPr>
                <w:sz w:val="28"/>
                <w:szCs w:val="28"/>
              </w:rPr>
            </w:pPr>
          </w:p>
        </w:tc>
      </w:tr>
      <w:tr w:rsidR="007A2CA8" w:rsidRPr="008527D7" w14:paraId="2325C592" w14:textId="77777777" w:rsidTr="00DD4199">
        <w:trPr>
          <w:trHeight w:val="1348"/>
        </w:trPr>
        <w:tc>
          <w:tcPr>
            <w:tcW w:w="1717" w:type="dxa"/>
            <w:gridSpan w:val="2"/>
            <w:tcBorders>
              <w:top w:val="single" w:sz="4" w:space="0" w:color="auto"/>
              <w:left w:val="single" w:sz="4" w:space="0" w:color="auto"/>
              <w:bottom w:val="single" w:sz="4" w:space="0" w:color="auto"/>
              <w:right w:val="single" w:sz="4" w:space="0" w:color="auto"/>
            </w:tcBorders>
          </w:tcPr>
          <w:p w14:paraId="1F8C5331" w14:textId="670883B0" w:rsidR="007A2CA8" w:rsidRPr="00170B8F" w:rsidRDefault="007A2CA8" w:rsidP="007A2CA8">
            <w:pPr>
              <w:ind w:firstLine="0"/>
              <w:jc w:val="left"/>
              <w:rPr>
                <w:b/>
                <w:sz w:val="18"/>
                <w:szCs w:val="18"/>
              </w:rPr>
            </w:pPr>
            <w:r w:rsidRPr="00063671">
              <w:rPr>
                <w:b/>
                <w:sz w:val="18"/>
                <w:szCs w:val="18"/>
              </w:rPr>
              <w:lastRenderedPageBreak/>
              <w:t xml:space="preserve">KIL 198. </w:t>
            </w:r>
            <w:r w:rsidRPr="00F50280">
              <w:rPr>
                <w:b/>
                <w:sz w:val="18"/>
                <w:szCs w:val="18"/>
              </w:rPr>
              <w:t>pantā neminēt</w:t>
            </w:r>
            <w:r w:rsidR="00D93669">
              <w:rPr>
                <w:b/>
                <w:sz w:val="18"/>
                <w:szCs w:val="18"/>
              </w:rPr>
              <w:t>as</w:t>
            </w:r>
            <w:r w:rsidRPr="00F50280">
              <w:rPr>
                <w:b/>
                <w:sz w:val="18"/>
                <w:szCs w:val="18"/>
              </w:rPr>
              <w:t xml:space="preserve"> darbīb</w:t>
            </w:r>
            <w:r w:rsidR="00D93669">
              <w:rPr>
                <w:b/>
                <w:sz w:val="18"/>
                <w:szCs w:val="18"/>
              </w:rPr>
              <w:t>as</w:t>
            </w:r>
          </w:p>
        </w:tc>
        <w:tc>
          <w:tcPr>
            <w:tcW w:w="2409" w:type="dxa"/>
            <w:tcBorders>
              <w:top w:val="single" w:sz="4" w:space="0" w:color="auto"/>
              <w:left w:val="single" w:sz="4" w:space="0" w:color="auto"/>
              <w:bottom w:val="single" w:sz="4" w:space="0" w:color="auto"/>
              <w:right w:val="single" w:sz="4" w:space="0" w:color="auto"/>
            </w:tcBorders>
          </w:tcPr>
          <w:p w14:paraId="65604D2C" w14:textId="4CB0D4BF" w:rsidR="007A2CA8" w:rsidRPr="00C71D63" w:rsidRDefault="007A2CA8" w:rsidP="007A2CA8">
            <w:pPr>
              <w:ind w:firstLine="0"/>
              <w:jc w:val="left"/>
              <w:rPr>
                <w:sz w:val="18"/>
                <w:szCs w:val="18"/>
              </w:rPr>
            </w:pPr>
            <w:r>
              <w:rPr>
                <w:b/>
                <w:sz w:val="18"/>
                <w:szCs w:val="18"/>
              </w:rPr>
              <w:t xml:space="preserve">10. </w:t>
            </w:r>
            <w:r w:rsidRPr="00C71D63">
              <w:rPr>
                <w:b/>
                <w:sz w:val="18"/>
                <w:szCs w:val="18"/>
              </w:rPr>
              <w:t xml:space="preserve">Noteikto regulējošo rādītāju neievērošana </w:t>
            </w:r>
            <w:r w:rsidRPr="00C71D63">
              <w:rPr>
                <w:sz w:val="18"/>
                <w:szCs w:val="18"/>
              </w:rPr>
              <w:t>(izņemot KIL 35.</w:t>
            </w:r>
            <w:r w:rsidRPr="00C71D63">
              <w:rPr>
                <w:sz w:val="18"/>
                <w:szCs w:val="18"/>
                <w:vertAlign w:val="superscript"/>
              </w:rPr>
              <w:t>26</w:t>
            </w:r>
            <w:r w:rsidRPr="00C71D63">
              <w:rPr>
                <w:sz w:val="18"/>
                <w:szCs w:val="18"/>
              </w:rPr>
              <w:t>, 35.</w:t>
            </w:r>
            <w:r w:rsidRPr="00C71D63">
              <w:rPr>
                <w:sz w:val="18"/>
                <w:szCs w:val="18"/>
                <w:vertAlign w:val="superscript"/>
              </w:rPr>
              <w:t>27</w:t>
            </w:r>
            <w:r w:rsidRPr="00C71D63">
              <w:rPr>
                <w:sz w:val="18"/>
                <w:szCs w:val="18"/>
              </w:rPr>
              <w:t xml:space="preserve"> un 35.</w:t>
            </w:r>
            <w:r w:rsidRPr="00C71D63">
              <w:rPr>
                <w:sz w:val="18"/>
                <w:szCs w:val="18"/>
                <w:vertAlign w:val="superscript"/>
              </w:rPr>
              <w:t xml:space="preserve">28 </w:t>
            </w:r>
            <w:r w:rsidRPr="00C71D63">
              <w:rPr>
                <w:sz w:val="18"/>
                <w:szCs w:val="18"/>
              </w:rPr>
              <w:t xml:space="preserve">pantu) </w:t>
            </w:r>
          </w:p>
          <w:p w14:paraId="3A7D910A" w14:textId="77777777" w:rsidR="007A2CA8" w:rsidRPr="008A1934" w:rsidRDefault="007A2CA8" w:rsidP="007A2CA8">
            <w:pPr>
              <w:ind w:firstLine="24"/>
              <w:jc w:val="left"/>
              <w:rPr>
                <w:sz w:val="18"/>
                <w:szCs w:val="18"/>
              </w:rPr>
            </w:pPr>
          </w:p>
          <w:p w14:paraId="7E31F05D" w14:textId="77777777" w:rsidR="007A2CA8" w:rsidRDefault="007A2CA8" w:rsidP="007A2CA8">
            <w:pPr>
              <w:ind w:firstLine="0"/>
              <w:jc w:val="left"/>
              <w:rPr>
                <w:b/>
                <w:sz w:val="18"/>
                <w:szCs w:val="18"/>
              </w:rPr>
            </w:pPr>
          </w:p>
        </w:tc>
        <w:tc>
          <w:tcPr>
            <w:tcW w:w="2410" w:type="dxa"/>
            <w:tcBorders>
              <w:top w:val="single" w:sz="4" w:space="0" w:color="auto"/>
              <w:left w:val="single" w:sz="4" w:space="0" w:color="auto"/>
              <w:bottom w:val="single" w:sz="4" w:space="0" w:color="auto"/>
              <w:right w:val="single" w:sz="4" w:space="0" w:color="auto"/>
            </w:tcBorders>
          </w:tcPr>
          <w:p w14:paraId="5CDF27C7"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805F134"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881B928" w14:textId="77777777" w:rsidR="007A2CA8" w:rsidRDefault="007A2CA8" w:rsidP="007A2CA8">
            <w:pPr>
              <w:ind w:hanging="19"/>
              <w:jc w:val="center"/>
              <w:rPr>
                <w:sz w:val="28"/>
                <w:szCs w:val="28"/>
              </w:rPr>
            </w:pPr>
            <w:r>
              <w:rPr>
                <w:sz w:val="28"/>
                <w:szCs w:val="28"/>
              </w:rPr>
              <w:t>X</w:t>
            </w:r>
          </w:p>
          <w:p w14:paraId="63A8F4A4" w14:textId="77777777" w:rsidR="007A2CA8" w:rsidRDefault="007A2CA8" w:rsidP="007A2CA8">
            <w:pPr>
              <w:ind w:hanging="19"/>
              <w:jc w:val="center"/>
              <w:rPr>
                <w:sz w:val="28"/>
                <w:szCs w:val="28"/>
              </w:rPr>
            </w:pPr>
          </w:p>
          <w:p w14:paraId="63BE31DC" w14:textId="77777777" w:rsidR="007A2CA8" w:rsidRPr="00DD4199" w:rsidRDefault="007A2CA8" w:rsidP="007A2CA8">
            <w:pPr>
              <w:ind w:firstLine="0"/>
              <w:jc w:val="center"/>
              <w:rPr>
                <w:b/>
                <w:bCs/>
                <w:sz w:val="18"/>
                <w:szCs w:val="18"/>
              </w:rPr>
            </w:pPr>
            <w:r w:rsidRPr="00DD4199">
              <w:rPr>
                <w:b/>
                <w:bCs/>
                <w:sz w:val="18"/>
                <w:szCs w:val="18"/>
              </w:rPr>
              <w:t>Kritēriji:</w:t>
            </w:r>
          </w:p>
          <w:p w14:paraId="17035805" w14:textId="4666EE1D" w:rsidR="007A2CA8" w:rsidRPr="008527D7" w:rsidRDefault="007A2CA8" w:rsidP="007A2CA8">
            <w:pPr>
              <w:ind w:firstLine="0"/>
              <w:jc w:val="center"/>
              <w:rPr>
                <w:b/>
                <w:bCs/>
                <w:sz w:val="28"/>
                <w:szCs w:val="28"/>
              </w:rPr>
            </w:pPr>
            <w:r w:rsidRPr="00BE050C">
              <w:rPr>
                <w:sz w:val="18"/>
                <w:szCs w:val="18"/>
              </w:rPr>
              <w:t>P2R</w:t>
            </w:r>
            <w:r w:rsidR="008A7857" w:rsidRPr="00BE050C">
              <w:rPr>
                <w:rStyle w:val="FootnoteReference"/>
                <w:sz w:val="18"/>
                <w:szCs w:val="18"/>
              </w:rPr>
              <w:footnoteReference w:id="4"/>
            </w:r>
            <w:r w:rsidRPr="00BE050C">
              <w:rPr>
                <w:sz w:val="18"/>
                <w:szCs w:val="18"/>
              </w:rPr>
              <w:t>, P1R</w:t>
            </w:r>
            <w:r w:rsidR="00BE050C" w:rsidRPr="00BE050C">
              <w:rPr>
                <w:rStyle w:val="FootnoteReference"/>
                <w:sz w:val="18"/>
                <w:szCs w:val="18"/>
              </w:rPr>
              <w:footnoteReference w:id="5"/>
            </w:r>
            <w:r w:rsidRPr="00DD4199">
              <w:rPr>
                <w:sz w:val="18"/>
                <w:szCs w:val="18"/>
              </w:rPr>
              <w:t>, plāns un līdz vienam atskaites periodam</w:t>
            </w:r>
          </w:p>
        </w:tc>
        <w:tc>
          <w:tcPr>
            <w:tcW w:w="2409" w:type="dxa"/>
            <w:tcBorders>
              <w:top w:val="single" w:sz="4" w:space="0" w:color="auto"/>
              <w:left w:val="single" w:sz="4" w:space="0" w:color="auto"/>
              <w:bottom w:val="single" w:sz="4" w:space="0" w:color="auto"/>
              <w:right w:val="single" w:sz="4" w:space="0" w:color="auto"/>
            </w:tcBorders>
          </w:tcPr>
          <w:p w14:paraId="13DA538C" w14:textId="77777777" w:rsidR="007A2CA8" w:rsidRDefault="007A2CA8" w:rsidP="007A2CA8">
            <w:pPr>
              <w:ind w:firstLine="0"/>
              <w:jc w:val="center"/>
              <w:rPr>
                <w:sz w:val="28"/>
                <w:szCs w:val="28"/>
              </w:rPr>
            </w:pPr>
            <w:r>
              <w:rPr>
                <w:sz w:val="28"/>
                <w:szCs w:val="28"/>
              </w:rPr>
              <w:t>X</w:t>
            </w:r>
          </w:p>
          <w:p w14:paraId="39C3D27D" w14:textId="77777777" w:rsidR="007A2CA8" w:rsidRDefault="007A2CA8" w:rsidP="007A2CA8">
            <w:pPr>
              <w:ind w:firstLine="0"/>
              <w:jc w:val="center"/>
              <w:rPr>
                <w:sz w:val="28"/>
                <w:szCs w:val="28"/>
              </w:rPr>
            </w:pPr>
          </w:p>
          <w:p w14:paraId="286EDAD5" w14:textId="77777777" w:rsidR="007A2CA8" w:rsidRPr="00DD4199" w:rsidRDefault="007A2CA8" w:rsidP="007A2CA8">
            <w:pPr>
              <w:ind w:firstLine="0"/>
              <w:jc w:val="center"/>
              <w:rPr>
                <w:b/>
                <w:bCs/>
                <w:sz w:val="18"/>
                <w:szCs w:val="18"/>
              </w:rPr>
            </w:pPr>
            <w:r w:rsidRPr="00DD4199">
              <w:rPr>
                <w:b/>
                <w:bCs/>
                <w:sz w:val="18"/>
                <w:szCs w:val="18"/>
              </w:rPr>
              <w:t>Kritēriji:</w:t>
            </w:r>
          </w:p>
          <w:p w14:paraId="765482AB" w14:textId="13662343" w:rsidR="007A2CA8" w:rsidRPr="008527D7" w:rsidRDefault="007A2CA8" w:rsidP="007A2CA8">
            <w:pPr>
              <w:ind w:firstLine="0"/>
              <w:jc w:val="center"/>
              <w:rPr>
                <w:sz w:val="28"/>
                <w:szCs w:val="28"/>
              </w:rPr>
            </w:pPr>
            <w:r w:rsidRPr="00DD4199">
              <w:rPr>
                <w:sz w:val="18"/>
                <w:szCs w:val="18"/>
              </w:rPr>
              <w:t>P</w:t>
            </w:r>
            <w:r>
              <w:rPr>
                <w:sz w:val="18"/>
                <w:szCs w:val="18"/>
              </w:rPr>
              <w:t>2</w:t>
            </w:r>
            <w:r w:rsidRPr="00DD4199">
              <w:rPr>
                <w:sz w:val="18"/>
                <w:szCs w:val="18"/>
              </w:rPr>
              <w:t xml:space="preserve">R, ilgstoši </w:t>
            </w:r>
            <w:r w:rsidR="00C77F1D">
              <w:rPr>
                <w:sz w:val="18"/>
                <w:szCs w:val="18"/>
              </w:rPr>
              <w:t xml:space="preserve">– </w:t>
            </w:r>
            <w:r w:rsidRPr="00DD4199">
              <w:rPr>
                <w:sz w:val="18"/>
                <w:szCs w:val="18"/>
              </w:rPr>
              <w:t xml:space="preserve">vairāk </w:t>
            </w:r>
            <w:r w:rsidR="007D4AFA">
              <w:rPr>
                <w:sz w:val="18"/>
                <w:szCs w:val="18"/>
              </w:rPr>
              <w:t>ne</w:t>
            </w:r>
            <w:r w:rsidRPr="00DD4199">
              <w:rPr>
                <w:sz w:val="18"/>
                <w:szCs w:val="18"/>
              </w:rPr>
              <w:t>kā viens atskaites period</w:t>
            </w:r>
            <w:r>
              <w:rPr>
                <w:sz w:val="18"/>
                <w:szCs w:val="18"/>
              </w:rPr>
              <w:t>s</w:t>
            </w:r>
            <w:r w:rsidRPr="00DD4199">
              <w:rPr>
                <w:sz w:val="18"/>
                <w:szCs w:val="18"/>
              </w:rPr>
              <w:t>, nav ticama kapitāla atjaunošanas plāna, P1R</w:t>
            </w:r>
          </w:p>
        </w:tc>
      </w:tr>
      <w:tr w:rsidR="007A2CA8" w:rsidRPr="008527D7" w14:paraId="2A5FC690" w14:textId="77777777" w:rsidTr="00DD4199">
        <w:trPr>
          <w:trHeight w:val="1527"/>
        </w:trPr>
        <w:tc>
          <w:tcPr>
            <w:tcW w:w="1717" w:type="dxa"/>
            <w:gridSpan w:val="2"/>
            <w:tcBorders>
              <w:top w:val="single" w:sz="4" w:space="0" w:color="auto"/>
              <w:left w:val="single" w:sz="4" w:space="0" w:color="auto"/>
              <w:bottom w:val="single" w:sz="4" w:space="0" w:color="auto"/>
              <w:right w:val="single" w:sz="4" w:space="0" w:color="auto"/>
            </w:tcBorders>
          </w:tcPr>
          <w:p w14:paraId="7B1937CB" w14:textId="0F8E623D" w:rsidR="007A2CA8" w:rsidRPr="00170B8F" w:rsidRDefault="007A2CA8" w:rsidP="007A2CA8">
            <w:pPr>
              <w:ind w:firstLine="0"/>
              <w:jc w:val="left"/>
              <w:rPr>
                <w:b/>
                <w:sz w:val="18"/>
                <w:szCs w:val="18"/>
              </w:rPr>
            </w:pPr>
            <w:r w:rsidRPr="008C4A73">
              <w:rPr>
                <w:b/>
                <w:sz w:val="18"/>
                <w:szCs w:val="18"/>
              </w:rPr>
              <w:t xml:space="preserve">KIL 198. </w:t>
            </w:r>
            <w:r w:rsidRPr="00F50280">
              <w:rPr>
                <w:b/>
                <w:sz w:val="18"/>
                <w:szCs w:val="18"/>
              </w:rPr>
              <w:t>pantā neminēt</w:t>
            </w:r>
            <w:r w:rsidR="00D93669">
              <w:rPr>
                <w:b/>
                <w:sz w:val="18"/>
                <w:szCs w:val="18"/>
              </w:rPr>
              <w:t>as</w:t>
            </w:r>
            <w:r w:rsidRPr="00F50280">
              <w:rPr>
                <w:b/>
                <w:sz w:val="18"/>
                <w:szCs w:val="18"/>
              </w:rPr>
              <w:t xml:space="preserve"> darbīb</w:t>
            </w:r>
            <w:r w:rsidR="00D93669">
              <w:rPr>
                <w:b/>
                <w:sz w:val="18"/>
                <w:szCs w:val="18"/>
              </w:rPr>
              <w:t>as</w:t>
            </w:r>
          </w:p>
        </w:tc>
        <w:tc>
          <w:tcPr>
            <w:tcW w:w="2409" w:type="dxa"/>
            <w:tcBorders>
              <w:top w:val="single" w:sz="4" w:space="0" w:color="auto"/>
              <w:left w:val="single" w:sz="4" w:space="0" w:color="auto"/>
              <w:bottom w:val="single" w:sz="4" w:space="0" w:color="auto"/>
              <w:right w:val="single" w:sz="4" w:space="0" w:color="auto"/>
            </w:tcBorders>
          </w:tcPr>
          <w:p w14:paraId="117E6B13" w14:textId="7CABED85" w:rsidR="007A2CA8" w:rsidRPr="00F1232A" w:rsidRDefault="007A2CA8" w:rsidP="007A2CA8">
            <w:pPr>
              <w:ind w:firstLine="0"/>
              <w:jc w:val="left"/>
              <w:rPr>
                <w:b/>
                <w:sz w:val="18"/>
                <w:szCs w:val="18"/>
              </w:rPr>
            </w:pPr>
            <w:r>
              <w:rPr>
                <w:b/>
                <w:sz w:val="18"/>
                <w:szCs w:val="18"/>
              </w:rPr>
              <w:t xml:space="preserve">11. </w:t>
            </w:r>
            <w:r w:rsidRPr="00F1232A">
              <w:rPr>
                <w:b/>
                <w:sz w:val="18"/>
                <w:szCs w:val="18"/>
              </w:rPr>
              <w:t>Paaugstinātu risku uzņemšanās vai citas kredītiestādes darbības, kas apdraud tās stabilitāti vai maksātspēju</w:t>
            </w:r>
          </w:p>
        </w:tc>
        <w:tc>
          <w:tcPr>
            <w:tcW w:w="2410" w:type="dxa"/>
            <w:tcBorders>
              <w:top w:val="single" w:sz="4" w:space="0" w:color="auto"/>
              <w:left w:val="single" w:sz="4" w:space="0" w:color="auto"/>
              <w:bottom w:val="single" w:sz="4" w:space="0" w:color="auto"/>
              <w:right w:val="single" w:sz="4" w:space="0" w:color="auto"/>
            </w:tcBorders>
          </w:tcPr>
          <w:p w14:paraId="39DE62FD"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3884866"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499714F" w14:textId="77777777" w:rsidR="007A2CA8" w:rsidRDefault="007A2CA8" w:rsidP="007A2CA8">
            <w:pPr>
              <w:ind w:hanging="19"/>
              <w:jc w:val="center"/>
              <w:rPr>
                <w:sz w:val="28"/>
                <w:szCs w:val="28"/>
              </w:rPr>
            </w:pPr>
            <w:r>
              <w:rPr>
                <w:sz w:val="28"/>
                <w:szCs w:val="28"/>
              </w:rPr>
              <w:t>X</w:t>
            </w:r>
          </w:p>
          <w:p w14:paraId="4D9CAC9B" w14:textId="77777777" w:rsidR="007A2CA8" w:rsidRDefault="007A2CA8" w:rsidP="007A2CA8">
            <w:pPr>
              <w:ind w:firstLine="0"/>
              <w:rPr>
                <w:rFonts w:cstheme="minorHAnsi"/>
                <w:b/>
                <w:bCs/>
                <w:color w:val="FF0000"/>
                <w:sz w:val="16"/>
                <w:szCs w:val="16"/>
              </w:rPr>
            </w:pPr>
          </w:p>
          <w:p w14:paraId="0E968609" w14:textId="77777777" w:rsidR="007A2CA8" w:rsidRPr="00DD4199" w:rsidRDefault="007A2CA8" w:rsidP="007A2CA8">
            <w:pPr>
              <w:ind w:firstLine="0"/>
              <w:jc w:val="center"/>
              <w:rPr>
                <w:rFonts w:cstheme="minorHAnsi"/>
                <w:b/>
                <w:bCs/>
                <w:sz w:val="18"/>
                <w:szCs w:val="18"/>
              </w:rPr>
            </w:pPr>
            <w:r w:rsidRPr="00DD4199">
              <w:rPr>
                <w:rFonts w:cstheme="minorHAnsi"/>
                <w:b/>
                <w:bCs/>
                <w:sz w:val="18"/>
                <w:szCs w:val="18"/>
              </w:rPr>
              <w:t>Kritēriji:</w:t>
            </w:r>
          </w:p>
          <w:p w14:paraId="3E4E2548" w14:textId="3FA0C4F0" w:rsidR="007A2CA8" w:rsidRPr="00DD4199" w:rsidRDefault="007A2CA8" w:rsidP="007A2CA8">
            <w:pPr>
              <w:ind w:firstLine="0"/>
              <w:jc w:val="center"/>
              <w:rPr>
                <w:b/>
                <w:bCs/>
                <w:sz w:val="18"/>
                <w:szCs w:val="18"/>
              </w:rPr>
            </w:pPr>
            <w:r w:rsidRPr="00DD4199">
              <w:rPr>
                <w:rFonts w:cstheme="minorHAnsi"/>
                <w:sz w:val="18"/>
                <w:szCs w:val="18"/>
              </w:rPr>
              <w:t>Tiek konstatēti F3 vai F4 ietekmes pārkāpumi</w:t>
            </w:r>
            <w:r w:rsidRPr="00DD4199">
              <w:rPr>
                <w:rStyle w:val="FootnoteReference"/>
                <w:rFonts w:cstheme="minorHAnsi"/>
                <w:sz w:val="18"/>
                <w:szCs w:val="18"/>
              </w:rPr>
              <w:footnoteReference w:id="6"/>
            </w:r>
          </w:p>
        </w:tc>
        <w:tc>
          <w:tcPr>
            <w:tcW w:w="2409" w:type="dxa"/>
            <w:tcBorders>
              <w:top w:val="single" w:sz="4" w:space="0" w:color="auto"/>
              <w:left w:val="single" w:sz="4" w:space="0" w:color="auto"/>
              <w:bottom w:val="single" w:sz="4" w:space="0" w:color="auto"/>
              <w:right w:val="single" w:sz="4" w:space="0" w:color="auto"/>
            </w:tcBorders>
          </w:tcPr>
          <w:p w14:paraId="3172A71B" w14:textId="77777777" w:rsidR="007A2CA8" w:rsidRDefault="007A2CA8" w:rsidP="007A2CA8">
            <w:pPr>
              <w:ind w:firstLine="0"/>
              <w:jc w:val="center"/>
              <w:rPr>
                <w:sz w:val="28"/>
                <w:szCs w:val="28"/>
              </w:rPr>
            </w:pPr>
            <w:r>
              <w:rPr>
                <w:sz w:val="28"/>
                <w:szCs w:val="28"/>
              </w:rPr>
              <w:t>X</w:t>
            </w:r>
          </w:p>
          <w:p w14:paraId="168189E8" w14:textId="77777777" w:rsidR="007A2CA8" w:rsidRDefault="007A2CA8" w:rsidP="007A2CA8">
            <w:pPr>
              <w:jc w:val="center"/>
              <w:rPr>
                <w:rFonts w:cstheme="minorHAnsi"/>
                <w:b/>
                <w:bCs/>
                <w:color w:val="FF0000"/>
                <w:sz w:val="16"/>
                <w:szCs w:val="16"/>
              </w:rPr>
            </w:pPr>
          </w:p>
          <w:p w14:paraId="02944D9F" w14:textId="77777777" w:rsidR="007A2CA8" w:rsidRPr="00DD4199" w:rsidRDefault="007A2CA8" w:rsidP="007A2CA8">
            <w:pPr>
              <w:ind w:firstLine="0"/>
              <w:jc w:val="center"/>
              <w:rPr>
                <w:rFonts w:cstheme="minorHAnsi"/>
                <w:b/>
                <w:bCs/>
                <w:sz w:val="18"/>
                <w:szCs w:val="18"/>
              </w:rPr>
            </w:pPr>
            <w:r w:rsidRPr="00DD4199">
              <w:rPr>
                <w:rFonts w:cstheme="minorHAnsi"/>
                <w:b/>
                <w:bCs/>
                <w:sz w:val="18"/>
                <w:szCs w:val="18"/>
              </w:rPr>
              <w:t>Kritēriji:</w:t>
            </w:r>
          </w:p>
          <w:p w14:paraId="56F905C9" w14:textId="12D08CDD" w:rsidR="007A2CA8" w:rsidRPr="008527D7" w:rsidRDefault="007A2CA8" w:rsidP="007A2CA8">
            <w:pPr>
              <w:ind w:firstLine="0"/>
              <w:jc w:val="center"/>
              <w:rPr>
                <w:b/>
                <w:bCs/>
                <w:sz w:val="28"/>
                <w:szCs w:val="28"/>
              </w:rPr>
            </w:pPr>
            <w:r w:rsidRPr="00DD4199">
              <w:rPr>
                <w:rFonts w:cstheme="minorHAnsi"/>
                <w:sz w:val="18"/>
                <w:szCs w:val="18"/>
              </w:rPr>
              <w:t>Ilgstošs, atkārtots pārkāpums t</w:t>
            </w:r>
            <w:r w:rsidR="005527FE">
              <w:rPr>
                <w:rFonts w:cstheme="minorHAnsi"/>
                <w:sz w:val="18"/>
                <w:szCs w:val="18"/>
              </w:rPr>
              <w:t>ajā</w:t>
            </w:r>
            <w:r w:rsidRPr="00DD4199">
              <w:rPr>
                <w:rFonts w:cstheme="minorHAnsi"/>
                <w:sz w:val="18"/>
                <w:szCs w:val="18"/>
              </w:rPr>
              <w:t xml:space="preserve"> paš</w:t>
            </w:r>
            <w:r w:rsidR="005527FE">
              <w:rPr>
                <w:rFonts w:cstheme="minorHAnsi"/>
                <w:sz w:val="18"/>
                <w:szCs w:val="18"/>
              </w:rPr>
              <w:t>ā</w:t>
            </w:r>
            <w:r w:rsidRPr="00DD4199">
              <w:rPr>
                <w:rFonts w:cstheme="minorHAnsi"/>
                <w:sz w:val="18"/>
                <w:szCs w:val="18"/>
              </w:rPr>
              <w:t xml:space="preserve"> jom</w:t>
            </w:r>
            <w:r w:rsidR="005527FE">
              <w:rPr>
                <w:rFonts w:cstheme="minorHAnsi"/>
                <w:sz w:val="18"/>
                <w:szCs w:val="18"/>
              </w:rPr>
              <w:t>ā</w:t>
            </w:r>
            <w:r w:rsidRPr="00DD4199">
              <w:rPr>
                <w:rFonts w:cstheme="minorHAnsi"/>
                <w:sz w:val="18"/>
                <w:szCs w:val="18"/>
              </w:rPr>
              <w:t>, konstatēti pārkāpumi vairākos elementos</w:t>
            </w:r>
          </w:p>
        </w:tc>
      </w:tr>
      <w:tr w:rsidR="007A2CA8" w:rsidRPr="008527D7" w14:paraId="2664E7D7" w14:textId="77777777" w:rsidTr="00DD4199">
        <w:trPr>
          <w:trHeight w:val="567"/>
        </w:trPr>
        <w:tc>
          <w:tcPr>
            <w:tcW w:w="1717" w:type="dxa"/>
            <w:gridSpan w:val="2"/>
            <w:tcBorders>
              <w:top w:val="single" w:sz="4" w:space="0" w:color="auto"/>
              <w:left w:val="single" w:sz="4" w:space="0" w:color="auto"/>
              <w:bottom w:val="single" w:sz="4" w:space="0" w:color="auto"/>
              <w:right w:val="single" w:sz="4" w:space="0" w:color="auto"/>
            </w:tcBorders>
          </w:tcPr>
          <w:p w14:paraId="37515449" w14:textId="77777777" w:rsidR="007A2CA8" w:rsidRPr="00170B8F" w:rsidRDefault="007A2CA8" w:rsidP="007A2CA8">
            <w:pPr>
              <w:ind w:firstLine="0"/>
              <w:jc w:val="left"/>
              <w:rPr>
                <w:b/>
                <w:sz w:val="18"/>
                <w:szCs w:val="18"/>
              </w:rPr>
            </w:pPr>
            <w:r w:rsidRPr="00E10041">
              <w:rPr>
                <w:b/>
                <w:sz w:val="18"/>
                <w:szCs w:val="18"/>
              </w:rPr>
              <w:t>KIL 36.</w:t>
            </w:r>
            <w:r w:rsidRPr="00E10041">
              <w:rPr>
                <w:b/>
                <w:sz w:val="18"/>
                <w:szCs w:val="18"/>
                <w:vertAlign w:val="superscript"/>
              </w:rPr>
              <w:t xml:space="preserve">2 </w:t>
            </w:r>
            <w:r w:rsidRPr="00E10041">
              <w:rPr>
                <w:b/>
                <w:sz w:val="18"/>
                <w:szCs w:val="18"/>
              </w:rPr>
              <w:t>pant</w:t>
            </w:r>
            <w:r>
              <w:rPr>
                <w:b/>
                <w:sz w:val="18"/>
                <w:szCs w:val="18"/>
              </w:rPr>
              <w:t>s</w:t>
            </w:r>
          </w:p>
        </w:tc>
        <w:tc>
          <w:tcPr>
            <w:tcW w:w="2409" w:type="dxa"/>
            <w:tcBorders>
              <w:top w:val="single" w:sz="4" w:space="0" w:color="auto"/>
              <w:left w:val="single" w:sz="4" w:space="0" w:color="auto"/>
              <w:bottom w:val="single" w:sz="4" w:space="0" w:color="auto"/>
              <w:right w:val="single" w:sz="4" w:space="0" w:color="auto"/>
            </w:tcBorders>
          </w:tcPr>
          <w:p w14:paraId="461B436B" w14:textId="7F63D3FC" w:rsidR="007A2CA8" w:rsidRDefault="007A2CA8" w:rsidP="007A2CA8">
            <w:pPr>
              <w:ind w:firstLine="0"/>
              <w:jc w:val="left"/>
              <w:rPr>
                <w:b/>
                <w:sz w:val="18"/>
                <w:szCs w:val="18"/>
              </w:rPr>
            </w:pPr>
            <w:r>
              <w:rPr>
                <w:b/>
                <w:sz w:val="18"/>
                <w:szCs w:val="18"/>
              </w:rPr>
              <w:t xml:space="preserve">12. </w:t>
            </w:r>
            <w:r w:rsidRPr="00F1232A">
              <w:rPr>
                <w:b/>
                <w:sz w:val="18"/>
                <w:szCs w:val="18"/>
              </w:rPr>
              <w:t>Iekšējā kapitāla pietiekamības novērtēšanas procesa nepilnības</w:t>
            </w:r>
          </w:p>
        </w:tc>
        <w:tc>
          <w:tcPr>
            <w:tcW w:w="2410" w:type="dxa"/>
            <w:tcBorders>
              <w:top w:val="single" w:sz="4" w:space="0" w:color="auto"/>
              <w:left w:val="single" w:sz="4" w:space="0" w:color="auto"/>
              <w:bottom w:val="single" w:sz="4" w:space="0" w:color="auto"/>
              <w:right w:val="single" w:sz="4" w:space="0" w:color="auto"/>
            </w:tcBorders>
          </w:tcPr>
          <w:p w14:paraId="1EF643FA"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89A9B12"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E3BE5CC" w14:textId="77777777" w:rsidR="007A2CA8" w:rsidRPr="00E44DC3" w:rsidRDefault="007A2CA8" w:rsidP="007A2CA8">
            <w:pPr>
              <w:ind w:firstLine="0"/>
              <w:jc w:val="center"/>
              <w:rPr>
                <w:sz w:val="28"/>
                <w:szCs w:val="28"/>
              </w:rPr>
            </w:pPr>
            <w:r w:rsidRPr="00E44DC3">
              <w:rPr>
                <w:sz w:val="28"/>
                <w:szCs w:val="28"/>
              </w:rPr>
              <w:t>X</w:t>
            </w:r>
          </w:p>
        </w:tc>
        <w:tc>
          <w:tcPr>
            <w:tcW w:w="2409" w:type="dxa"/>
            <w:tcBorders>
              <w:top w:val="single" w:sz="4" w:space="0" w:color="auto"/>
              <w:left w:val="single" w:sz="4" w:space="0" w:color="auto"/>
              <w:bottom w:val="single" w:sz="4" w:space="0" w:color="auto"/>
              <w:right w:val="single" w:sz="4" w:space="0" w:color="auto"/>
            </w:tcBorders>
          </w:tcPr>
          <w:p w14:paraId="2AEB77EF" w14:textId="77777777" w:rsidR="007A2CA8" w:rsidRPr="008527D7" w:rsidRDefault="007A2CA8" w:rsidP="007A2CA8">
            <w:pPr>
              <w:ind w:firstLine="0"/>
              <w:jc w:val="center"/>
              <w:rPr>
                <w:sz w:val="28"/>
                <w:szCs w:val="28"/>
              </w:rPr>
            </w:pPr>
          </w:p>
        </w:tc>
      </w:tr>
      <w:tr w:rsidR="007A2CA8" w:rsidRPr="008527D7" w14:paraId="32DD1146" w14:textId="77777777" w:rsidTr="00DD4199">
        <w:trPr>
          <w:trHeight w:val="567"/>
        </w:trPr>
        <w:tc>
          <w:tcPr>
            <w:tcW w:w="1717" w:type="dxa"/>
            <w:gridSpan w:val="2"/>
            <w:tcBorders>
              <w:top w:val="single" w:sz="4" w:space="0" w:color="auto"/>
              <w:left w:val="single" w:sz="4" w:space="0" w:color="auto"/>
              <w:bottom w:val="single" w:sz="4" w:space="0" w:color="auto"/>
              <w:right w:val="single" w:sz="4" w:space="0" w:color="auto"/>
            </w:tcBorders>
          </w:tcPr>
          <w:p w14:paraId="081ED8AF" w14:textId="3E220047" w:rsidR="007A2CA8" w:rsidRPr="00A901B7" w:rsidRDefault="002D1767" w:rsidP="007A2CA8">
            <w:pPr>
              <w:ind w:firstLine="0"/>
              <w:jc w:val="left"/>
              <w:rPr>
                <w:b/>
                <w:sz w:val="18"/>
                <w:szCs w:val="18"/>
              </w:rPr>
            </w:pPr>
            <w:r w:rsidRPr="005B7BC4">
              <w:rPr>
                <w:b/>
                <w:sz w:val="18"/>
                <w:szCs w:val="18"/>
                <w:shd w:val="clear" w:color="auto" w:fill="FFFFFF"/>
              </w:rPr>
              <w:t>R</w:t>
            </w:r>
            <w:r w:rsidR="007A2CA8" w:rsidRPr="005B7BC4">
              <w:rPr>
                <w:b/>
                <w:sz w:val="18"/>
                <w:szCs w:val="18"/>
                <w:shd w:val="clear" w:color="auto" w:fill="FFFFFF"/>
              </w:rPr>
              <w:t>egulas Nr. 1286/2014</w:t>
            </w:r>
            <w:r w:rsidR="00555B4F" w:rsidRPr="005B7BC4">
              <w:rPr>
                <w:rStyle w:val="FootnoteReference"/>
                <w:b/>
                <w:sz w:val="18"/>
                <w:szCs w:val="18"/>
                <w:shd w:val="clear" w:color="auto" w:fill="FFFFFF"/>
              </w:rPr>
              <w:footnoteReference w:id="7"/>
            </w:r>
            <w:r w:rsidR="007A2CA8" w:rsidRPr="005B7BC4">
              <w:rPr>
                <w:b/>
                <w:sz w:val="18"/>
                <w:szCs w:val="18"/>
                <w:shd w:val="clear" w:color="auto" w:fill="FFFFFF"/>
              </w:rPr>
              <w:t xml:space="preserve"> pārkāpumi</w:t>
            </w:r>
          </w:p>
        </w:tc>
        <w:tc>
          <w:tcPr>
            <w:tcW w:w="2409" w:type="dxa"/>
            <w:tcBorders>
              <w:top w:val="single" w:sz="4" w:space="0" w:color="auto"/>
              <w:left w:val="single" w:sz="4" w:space="0" w:color="auto"/>
              <w:bottom w:val="single" w:sz="4" w:space="0" w:color="auto"/>
              <w:right w:val="single" w:sz="4" w:space="0" w:color="auto"/>
            </w:tcBorders>
          </w:tcPr>
          <w:p w14:paraId="6B9E6DD9" w14:textId="643A4FC0" w:rsidR="007A2CA8" w:rsidRDefault="007A2CA8" w:rsidP="007A2CA8">
            <w:pPr>
              <w:ind w:firstLine="0"/>
              <w:jc w:val="left"/>
              <w:rPr>
                <w:b/>
                <w:sz w:val="18"/>
                <w:szCs w:val="18"/>
              </w:rPr>
            </w:pPr>
            <w:r>
              <w:rPr>
                <w:b/>
                <w:sz w:val="18"/>
                <w:szCs w:val="18"/>
              </w:rPr>
              <w:t xml:space="preserve">13. </w:t>
            </w:r>
            <w:r w:rsidRPr="00A901B7">
              <w:rPr>
                <w:b/>
                <w:sz w:val="18"/>
                <w:szCs w:val="18"/>
              </w:rPr>
              <w:t xml:space="preserve">Regulas </w:t>
            </w:r>
            <w:r w:rsidR="00914CB7" w:rsidRPr="005B7BC4">
              <w:rPr>
                <w:b/>
                <w:sz w:val="18"/>
                <w:szCs w:val="18"/>
                <w:shd w:val="clear" w:color="auto" w:fill="FFFFFF"/>
              </w:rPr>
              <w:t>Nr. 1286/2014</w:t>
            </w:r>
            <w:r w:rsidR="00914CB7">
              <w:rPr>
                <w:b/>
                <w:sz w:val="18"/>
                <w:szCs w:val="18"/>
                <w:shd w:val="clear" w:color="auto" w:fill="FFFFFF"/>
              </w:rPr>
              <w:t xml:space="preserve"> </w:t>
            </w:r>
            <w:r w:rsidRPr="00A901B7">
              <w:rPr>
                <w:b/>
                <w:sz w:val="18"/>
                <w:szCs w:val="18"/>
              </w:rPr>
              <w:t>prasību neievērošana</w:t>
            </w:r>
          </w:p>
          <w:p w14:paraId="010D60D1" w14:textId="77777777" w:rsidR="008A7857" w:rsidRPr="008A7857" w:rsidRDefault="008A7857" w:rsidP="008A7857">
            <w:pPr>
              <w:rPr>
                <w:sz w:val="18"/>
                <w:szCs w:val="18"/>
              </w:rPr>
            </w:pPr>
          </w:p>
          <w:p w14:paraId="562A12BD" w14:textId="77777777" w:rsidR="008A7857" w:rsidRPr="008A7857" w:rsidRDefault="008A7857" w:rsidP="008A7857">
            <w:pPr>
              <w:rPr>
                <w:sz w:val="18"/>
                <w:szCs w:val="18"/>
              </w:rPr>
            </w:pPr>
          </w:p>
          <w:p w14:paraId="38F2298E" w14:textId="77777777" w:rsidR="008A7857" w:rsidRPr="008A7857" w:rsidRDefault="008A7857" w:rsidP="008A7857">
            <w:pPr>
              <w:rPr>
                <w:sz w:val="18"/>
                <w:szCs w:val="18"/>
              </w:rPr>
            </w:pPr>
          </w:p>
          <w:p w14:paraId="199A3A42" w14:textId="77777777" w:rsidR="008A7857" w:rsidRPr="008A7857" w:rsidRDefault="008A7857" w:rsidP="008A7857">
            <w:pPr>
              <w:rPr>
                <w:sz w:val="18"/>
                <w:szCs w:val="18"/>
              </w:rPr>
            </w:pPr>
          </w:p>
          <w:p w14:paraId="0DBCE9BE" w14:textId="77777777" w:rsidR="008A7857" w:rsidRPr="008A7857" w:rsidRDefault="008A7857" w:rsidP="008A7857">
            <w:pPr>
              <w:rPr>
                <w:sz w:val="18"/>
                <w:szCs w:val="18"/>
              </w:rPr>
            </w:pPr>
          </w:p>
          <w:p w14:paraId="226B602F" w14:textId="4CB9C4BA" w:rsidR="008A7857" w:rsidRPr="008A7857" w:rsidRDefault="008A7857" w:rsidP="008A7857">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C559DCE"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B939A30" w14:textId="77777777" w:rsidR="007A2CA8" w:rsidRPr="00E44DC3" w:rsidRDefault="007A2CA8" w:rsidP="007A2CA8">
            <w:pPr>
              <w:ind w:firstLine="0"/>
              <w:jc w:val="center"/>
              <w:rPr>
                <w:sz w:val="28"/>
                <w:szCs w:val="28"/>
              </w:rPr>
            </w:pPr>
            <w:r w:rsidRPr="00E44DC3">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788EFFAC" w14:textId="0D4A952F" w:rsidR="007A2CA8" w:rsidRPr="008527D7" w:rsidRDefault="007A2CA8" w:rsidP="007A2CA8">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0F35A54" w14:textId="77777777" w:rsidR="007A2CA8" w:rsidRPr="008527D7" w:rsidRDefault="007A2CA8" w:rsidP="007A2CA8">
            <w:pPr>
              <w:ind w:firstLine="0"/>
              <w:jc w:val="center"/>
              <w:rPr>
                <w:sz w:val="28"/>
                <w:szCs w:val="28"/>
              </w:rPr>
            </w:pPr>
          </w:p>
        </w:tc>
      </w:tr>
      <w:tr w:rsidR="007A2CA8" w:rsidRPr="004D04E4" w14:paraId="2FF8E2CF" w14:textId="77777777" w:rsidTr="00E44DC3">
        <w:trPr>
          <w:gridBefore w:val="1"/>
          <w:wBefore w:w="6" w:type="dxa"/>
          <w:trHeight w:val="2139"/>
        </w:trPr>
        <w:tc>
          <w:tcPr>
            <w:tcW w:w="1711" w:type="dxa"/>
            <w:tcBorders>
              <w:top w:val="single" w:sz="4" w:space="0" w:color="auto"/>
              <w:left w:val="single" w:sz="4" w:space="0" w:color="auto"/>
              <w:right w:val="single" w:sz="4" w:space="0" w:color="auto"/>
            </w:tcBorders>
          </w:tcPr>
          <w:p w14:paraId="5B75D049" w14:textId="4FB73B00" w:rsidR="002D1767" w:rsidRDefault="007A2CA8" w:rsidP="007A2CA8">
            <w:pPr>
              <w:ind w:firstLine="0"/>
              <w:jc w:val="left"/>
              <w:rPr>
                <w:b/>
                <w:sz w:val="18"/>
                <w:szCs w:val="18"/>
              </w:rPr>
            </w:pPr>
            <w:r w:rsidRPr="00EC6066">
              <w:rPr>
                <w:b/>
                <w:bCs/>
                <w:color w:val="000000"/>
                <w:sz w:val="18"/>
                <w:szCs w:val="18"/>
              </w:rPr>
              <w:lastRenderedPageBreak/>
              <w:t xml:space="preserve">Kredītiestāžu un ieguldījumu brokeru sabiedrību darbības atjaunošanas un noregulējuma </w:t>
            </w:r>
            <w:r w:rsidRPr="00EC6066">
              <w:rPr>
                <w:b/>
                <w:sz w:val="18"/>
                <w:szCs w:val="18"/>
              </w:rPr>
              <w:t>likuma </w:t>
            </w:r>
            <w:hyperlink r:id="rId7" w:anchor="p5" w:history="1">
              <w:r w:rsidRPr="00EC6066">
                <w:rPr>
                  <w:b/>
                  <w:sz w:val="18"/>
                  <w:szCs w:val="18"/>
                </w:rPr>
                <w:t>5.</w:t>
              </w:r>
            </w:hyperlink>
            <w:r w:rsidRPr="00EC6066">
              <w:rPr>
                <w:b/>
                <w:sz w:val="18"/>
                <w:szCs w:val="18"/>
              </w:rPr>
              <w:t>, </w:t>
            </w:r>
            <w:hyperlink r:id="rId8" w:anchor="p7" w:history="1">
              <w:r w:rsidRPr="00EC6066">
                <w:rPr>
                  <w:b/>
                  <w:sz w:val="18"/>
                  <w:szCs w:val="18"/>
                </w:rPr>
                <w:t>7.</w:t>
              </w:r>
            </w:hyperlink>
            <w:r w:rsidRPr="00EC6066">
              <w:rPr>
                <w:b/>
                <w:sz w:val="18"/>
                <w:szCs w:val="18"/>
              </w:rPr>
              <w:t>, </w:t>
            </w:r>
            <w:hyperlink r:id="rId9" w:anchor="p12" w:history="1">
              <w:r w:rsidRPr="00EC6066">
                <w:rPr>
                  <w:b/>
                  <w:sz w:val="18"/>
                  <w:szCs w:val="18"/>
                </w:rPr>
                <w:t>12.</w:t>
              </w:r>
            </w:hyperlink>
            <w:r w:rsidRPr="00EC6066">
              <w:rPr>
                <w:b/>
                <w:sz w:val="18"/>
                <w:szCs w:val="18"/>
              </w:rPr>
              <w:t>, </w:t>
            </w:r>
          </w:p>
          <w:p w14:paraId="249ACB12" w14:textId="6BE21613" w:rsidR="007A2CA8" w:rsidRDefault="008914B5" w:rsidP="007A2CA8">
            <w:pPr>
              <w:ind w:firstLine="0"/>
              <w:jc w:val="left"/>
              <w:rPr>
                <w:b/>
                <w:sz w:val="18"/>
                <w:szCs w:val="18"/>
              </w:rPr>
            </w:pPr>
            <w:hyperlink r:id="rId10" w:anchor="p30" w:history="1">
              <w:r w:rsidR="00915A67">
                <w:rPr>
                  <w:b/>
                  <w:sz w:val="18"/>
                  <w:szCs w:val="18"/>
                </w:rPr>
                <w:t>3</w:t>
              </w:r>
              <w:r w:rsidR="007A2CA8" w:rsidRPr="00EC6066">
                <w:rPr>
                  <w:b/>
                  <w:sz w:val="18"/>
                  <w:szCs w:val="18"/>
                </w:rPr>
                <w:t>0. </w:t>
              </w:r>
            </w:hyperlink>
            <w:r w:rsidR="007A2CA8">
              <w:rPr>
                <w:b/>
                <w:sz w:val="18"/>
                <w:szCs w:val="18"/>
              </w:rPr>
              <w:t>u</w:t>
            </w:r>
            <w:r w:rsidR="007A2CA8" w:rsidRPr="00EC6066">
              <w:rPr>
                <w:b/>
                <w:sz w:val="18"/>
                <w:szCs w:val="18"/>
              </w:rPr>
              <w:t>n</w:t>
            </w:r>
            <w:r w:rsidR="007A2CA8">
              <w:rPr>
                <w:b/>
                <w:sz w:val="18"/>
                <w:szCs w:val="18"/>
              </w:rPr>
              <w:t xml:space="preserve"> 103. pants</w:t>
            </w:r>
          </w:p>
          <w:p w14:paraId="616D4395" w14:textId="77777777" w:rsidR="007A2CA8" w:rsidRPr="00EC6066" w:rsidRDefault="007A2CA8" w:rsidP="007A2CA8">
            <w:pPr>
              <w:ind w:firstLine="0"/>
              <w:jc w:val="left"/>
              <w:rPr>
                <w:b/>
                <w:sz w:val="18"/>
                <w:szCs w:val="18"/>
              </w:rPr>
            </w:pPr>
            <w:r w:rsidRPr="00EC6066">
              <w:rPr>
                <w:b/>
                <w:sz w:val="18"/>
                <w:szCs w:val="18"/>
              </w:rPr>
              <w:t> </w:t>
            </w:r>
          </w:p>
        </w:tc>
        <w:tc>
          <w:tcPr>
            <w:tcW w:w="2409" w:type="dxa"/>
            <w:tcBorders>
              <w:top w:val="single" w:sz="4" w:space="0" w:color="auto"/>
              <w:left w:val="single" w:sz="4" w:space="0" w:color="auto"/>
              <w:right w:val="single" w:sz="4" w:space="0" w:color="auto"/>
            </w:tcBorders>
          </w:tcPr>
          <w:p w14:paraId="37C6A75C" w14:textId="3A5787D2" w:rsidR="007A2CA8" w:rsidRDefault="007A2CA8" w:rsidP="007A2CA8">
            <w:pPr>
              <w:ind w:firstLine="0"/>
              <w:jc w:val="left"/>
              <w:rPr>
                <w:b/>
                <w:sz w:val="18"/>
                <w:szCs w:val="18"/>
              </w:rPr>
            </w:pPr>
            <w:r>
              <w:rPr>
                <w:b/>
                <w:sz w:val="18"/>
                <w:szCs w:val="18"/>
              </w:rPr>
              <w:t xml:space="preserve">14. </w:t>
            </w:r>
            <w:r w:rsidR="002D1767" w:rsidRPr="00C0059D">
              <w:rPr>
                <w:b/>
                <w:bCs/>
                <w:color w:val="000000"/>
                <w:sz w:val="18"/>
                <w:szCs w:val="18"/>
              </w:rPr>
              <w:t>Kredītiestāžu un ieguldījumu brokeru sabiedrību darbības atjaunošanas un noregulējuma</w:t>
            </w:r>
            <w:r>
              <w:rPr>
                <w:b/>
                <w:sz w:val="18"/>
                <w:szCs w:val="18"/>
              </w:rPr>
              <w:t xml:space="preserve"> </w:t>
            </w:r>
          </w:p>
          <w:p w14:paraId="5B0F5467" w14:textId="4B025243" w:rsidR="007A2CA8" w:rsidRPr="001A3C62" w:rsidRDefault="007A2CA8" w:rsidP="007A2CA8">
            <w:pPr>
              <w:ind w:firstLine="0"/>
              <w:jc w:val="left"/>
              <w:rPr>
                <w:b/>
                <w:sz w:val="18"/>
                <w:szCs w:val="18"/>
              </w:rPr>
            </w:pPr>
            <w:r>
              <w:rPr>
                <w:b/>
                <w:sz w:val="18"/>
                <w:szCs w:val="18"/>
              </w:rPr>
              <w:t>likuma prasību neievērošan</w:t>
            </w:r>
            <w:r w:rsidR="00C77F1D">
              <w:rPr>
                <w:b/>
                <w:sz w:val="18"/>
                <w:szCs w:val="18"/>
              </w:rPr>
              <w:t>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2B6184" w14:textId="77777777" w:rsidR="007A2CA8" w:rsidRPr="005C4C60" w:rsidRDefault="007A2CA8" w:rsidP="007A2CA8">
            <w:pPr>
              <w:ind w:firstLine="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B80486" w14:textId="77777777" w:rsidR="007A2CA8" w:rsidRPr="004D04E4" w:rsidRDefault="007A2CA8" w:rsidP="007A2CA8">
            <w:pPr>
              <w:ind w:firstLine="0"/>
              <w:jc w:val="lef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F9BA" w14:textId="6748F155" w:rsidR="007A2CA8" w:rsidRPr="00E44DC3" w:rsidRDefault="007A2CA8" w:rsidP="007A2CA8">
            <w:pPr>
              <w:ind w:firstLine="0"/>
              <w:jc w:val="center"/>
              <w:rPr>
                <w:sz w:val="28"/>
                <w:szCs w:val="28"/>
              </w:rPr>
            </w:pPr>
            <w:r w:rsidRPr="00E44DC3">
              <w:rPr>
                <w:sz w:val="28"/>
                <w:szCs w:val="28"/>
              </w:rPr>
              <w:t>X</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CCCC7" w14:textId="77777777" w:rsidR="007A2CA8" w:rsidRPr="004D04E4" w:rsidRDefault="007A2CA8" w:rsidP="007A2CA8">
            <w:pPr>
              <w:ind w:firstLine="0"/>
              <w:jc w:val="left"/>
              <w:rPr>
                <w:sz w:val="18"/>
                <w:szCs w:val="18"/>
              </w:rPr>
            </w:pPr>
          </w:p>
        </w:tc>
      </w:tr>
      <w:tr w:rsidR="007A2CA8" w:rsidRPr="004D04E4" w14:paraId="1393A1C3" w14:textId="77777777" w:rsidTr="00E44DC3">
        <w:trPr>
          <w:gridBefore w:val="1"/>
          <w:wBefore w:w="6" w:type="dxa"/>
          <w:trHeight w:val="2139"/>
        </w:trPr>
        <w:tc>
          <w:tcPr>
            <w:tcW w:w="1711" w:type="dxa"/>
            <w:tcBorders>
              <w:top w:val="single" w:sz="4" w:space="0" w:color="auto"/>
              <w:left w:val="single" w:sz="4" w:space="0" w:color="auto"/>
              <w:right w:val="single" w:sz="4" w:space="0" w:color="auto"/>
            </w:tcBorders>
          </w:tcPr>
          <w:p w14:paraId="21D47D4D" w14:textId="331ABF6A" w:rsidR="007A2CA8" w:rsidRPr="00EC6066" w:rsidRDefault="007A2CA8" w:rsidP="007A2CA8">
            <w:pPr>
              <w:ind w:firstLine="0"/>
              <w:jc w:val="left"/>
              <w:rPr>
                <w:b/>
                <w:bCs/>
                <w:color w:val="000000"/>
                <w:sz w:val="18"/>
                <w:szCs w:val="18"/>
              </w:rPr>
            </w:pPr>
            <w:r>
              <w:rPr>
                <w:b/>
                <w:bCs/>
                <w:color w:val="000000"/>
                <w:sz w:val="18"/>
                <w:szCs w:val="18"/>
              </w:rPr>
              <w:t xml:space="preserve">Noguldījumu garantiju likums </w:t>
            </w:r>
          </w:p>
        </w:tc>
        <w:tc>
          <w:tcPr>
            <w:tcW w:w="2409" w:type="dxa"/>
            <w:tcBorders>
              <w:top w:val="single" w:sz="4" w:space="0" w:color="auto"/>
              <w:left w:val="single" w:sz="4" w:space="0" w:color="auto"/>
              <w:right w:val="single" w:sz="4" w:space="0" w:color="auto"/>
            </w:tcBorders>
          </w:tcPr>
          <w:p w14:paraId="6FD7A9BE" w14:textId="5C40A122" w:rsidR="007A2CA8" w:rsidRDefault="007A2CA8" w:rsidP="007A2CA8">
            <w:pPr>
              <w:ind w:firstLine="0"/>
              <w:jc w:val="left"/>
              <w:rPr>
                <w:b/>
                <w:sz w:val="18"/>
                <w:szCs w:val="18"/>
              </w:rPr>
            </w:pPr>
            <w:r>
              <w:rPr>
                <w:b/>
                <w:sz w:val="18"/>
                <w:szCs w:val="18"/>
              </w:rPr>
              <w:t xml:space="preserve">15. </w:t>
            </w:r>
            <w:r w:rsidR="002D1767">
              <w:rPr>
                <w:b/>
                <w:bCs/>
                <w:color w:val="000000"/>
                <w:sz w:val="18"/>
                <w:szCs w:val="18"/>
              </w:rPr>
              <w:t>Noguldījumu garantiju likuma</w:t>
            </w:r>
            <w:r>
              <w:rPr>
                <w:b/>
                <w:sz w:val="18"/>
                <w:szCs w:val="18"/>
              </w:rPr>
              <w:t xml:space="preserve"> prasību neievērošan</w:t>
            </w:r>
            <w:r w:rsidR="00C77F1D">
              <w:rPr>
                <w:b/>
                <w:sz w:val="18"/>
                <w:szCs w:val="18"/>
              </w:rPr>
              <w:t>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97D5C2" w14:textId="77777777" w:rsidR="007A2CA8" w:rsidRPr="005C4C60" w:rsidRDefault="007A2CA8" w:rsidP="007A2CA8">
            <w:pPr>
              <w:ind w:firstLine="0"/>
              <w:jc w:val="lef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EF05782" w14:textId="1E2D07A0" w:rsidR="007A2CA8" w:rsidRPr="008D2D7C" w:rsidRDefault="007A2CA8" w:rsidP="007A2CA8">
            <w:pPr>
              <w:ind w:firstLine="0"/>
              <w:jc w:val="center"/>
              <w:rPr>
                <w:sz w:val="28"/>
                <w:szCs w:val="28"/>
              </w:rPr>
            </w:pPr>
            <w:r>
              <w:rPr>
                <w:sz w:val="28"/>
                <w:szCs w:val="28"/>
              </w:rPr>
              <w:t>X</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559DC83" w14:textId="77777777" w:rsidR="007A2CA8" w:rsidRPr="00E44DC3" w:rsidRDefault="007A2CA8" w:rsidP="007A2CA8">
            <w:pPr>
              <w:ind w:firstLine="0"/>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D4F9B" w14:textId="77777777" w:rsidR="007A2CA8" w:rsidRPr="004D04E4" w:rsidRDefault="007A2CA8" w:rsidP="007A2CA8">
            <w:pPr>
              <w:ind w:firstLine="0"/>
              <w:jc w:val="left"/>
              <w:rPr>
                <w:sz w:val="18"/>
                <w:szCs w:val="18"/>
              </w:rPr>
            </w:pPr>
          </w:p>
        </w:tc>
      </w:tr>
      <w:tr w:rsidR="007A2CA8" w:rsidRPr="008527D7" w14:paraId="4394E56F" w14:textId="77777777" w:rsidTr="009F4CC4">
        <w:trPr>
          <w:trHeight w:val="567"/>
        </w:trPr>
        <w:tc>
          <w:tcPr>
            <w:tcW w:w="1717" w:type="dxa"/>
            <w:gridSpan w:val="2"/>
            <w:tcBorders>
              <w:top w:val="single" w:sz="4" w:space="0" w:color="auto"/>
              <w:left w:val="single" w:sz="4" w:space="0" w:color="auto"/>
              <w:bottom w:val="single" w:sz="4" w:space="0" w:color="auto"/>
              <w:right w:val="single" w:sz="4" w:space="0" w:color="auto"/>
            </w:tcBorders>
          </w:tcPr>
          <w:p w14:paraId="4546D55D" w14:textId="3672831F" w:rsidR="007A2CA8" w:rsidRPr="00170B8F" w:rsidRDefault="007A2CA8" w:rsidP="007A2CA8">
            <w:pPr>
              <w:ind w:firstLine="0"/>
              <w:jc w:val="left"/>
              <w:rPr>
                <w:b/>
                <w:sz w:val="18"/>
                <w:szCs w:val="18"/>
              </w:rPr>
            </w:pPr>
            <w:r w:rsidRPr="00C0059D">
              <w:rPr>
                <w:b/>
                <w:bCs/>
                <w:color w:val="000000"/>
                <w:sz w:val="18"/>
                <w:szCs w:val="18"/>
              </w:rPr>
              <w:t>Kredītiestāžu un ieguldījumu brokeru sabiedrību darbības atjaunošanas un noregulējuma likum</w:t>
            </w:r>
            <w:r w:rsidR="002D1767">
              <w:rPr>
                <w:b/>
                <w:bCs/>
                <w:color w:val="000000"/>
                <w:sz w:val="18"/>
                <w:szCs w:val="18"/>
              </w:rPr>
              <w:t>a</w:t>
            </w:r>
            <w:r w:rsidRPr="00C0059D">
              <w:rPr>
                <w:b/>
                <w:bCs/>
                <w:color w:val="000000"/>
                <w:sz w:val="18"/>
                <w:szCs w:val="18"/>
              </w:rPr>
              <w:t xml:space="preserve"> 5.</w:t>
            </w:r>
            <w:r w:rsidR="002D1767">
              <w:rPr>
                <w:b/>
                <w:bCs/>
                <w:color w:val="000000"/>
                <w:sz w:val="18"/>
                <w:szCs w:val="18"/>
              </w:rPr>
              <w:t xml:space="preserve"> </w:t>
            </w:r>
            <w:r w:rsidRPr="00C0059D">
              <w:rPr>
                <w:b/>
                <w:bCs/>
                <w:color w:val="000000"/>
                <w:sz w:val="18"/>
                <w:szCs w:val="18"/>
              </w:rPr>
              <w:t>pants</w:t>
            </w:r>
          </w:p>
        </w:tc>
        <w:tc>
          <w:tcPr>
            <w:tcW w:w="2409" w:type="dxa"/>
            <w:tcBorders>
              <w:top w:val="single" w:sz="4" w:space="0" w:color="auto"/>
              <w:left w:val="single" w:sz="4" w:space="0" w:color="auto"/>
              <w:bottom w:val="single" w:sz="4" w:space="0" w:color="auto"/>
              <w:right w:val="single" w:sz="4" w:space="0" w:color="auto"/>
            </w:tcBorders>
          </w:tcPr>
          <w:p w14:paraId="4974272D" w14:textId="2BF6057F" w:rsidR="007A2CA8" w:rsidRDefault="007A2CA8" w:rsidP="007A2CA8">
            <w:pPr>
              <w:ind w:firstLine="0"/>
              <w:jc w:val="left"/>
              <w:rPr>
                <w:b/>
                <w:sz w:val="18"/>
                <w:szCs w:val="18"/>
              </w:rPr>
            </w:pPr>
            <w:r>
              <w:rPr>
                <w:b/>
                <w:sz w:val="18"/>
                <w:szCs w:val="18"/>
              </w:rPr>
              <w:t xml:space="preserve">16. </w:t>
            </w:r>
            <w:r w:rsidRPr="00C0059D">
              <w:rPr>
                <w:b/>
                <w:bCs/>
                <w:color w:val="000000"/>
                <w:sz w:val="18"/>
                <w:szCs w:val="18"/>
              </w:rPr>
              <w:t>Kredītiestāžu un ieguldījumu brokeru sabiedrību darbības atjaunošanas un noregulējuma likum</w:t>
            </w:r>
            <w:r>
              <w:rPr>
                <w:b/>
                <w:bCs/>
                <w:color w:val="000000"/>
                <w:sz w:val="18"/>
                <w:szCs w:val="18"/>
              </w:rPr>
              <w:t>a</w:t>
            </w:r>
            <w:r w:rsidRPr="00C0059D">
              <w:rPr>
                <w:b/>
                <w:bCs/>
                <w:color w:val="000000"/>
                <w:sz w:val="18"/>
                <w:szCs w:val="18"/>
              </w:rPr>
              <w:t xml:space="preserve"> 5.</w:t>
            </w:r>
            <w:r w:rsidR="005527FE">
              <w:rPr>
                <w:b/>
                <w:bCs/>
                <w:color w:val="000000"/>
                <w:sz w:val="18"/>
                <w:szCs w:val="18"/>
              </w:rPr>
              <w:t> </w:t>
            </w:r>
            <w:r w:rsidRPr="00C0059D">
              <w:rPr>
                <w:b/>
                <w:bCs/>
                <w:color w:val="000000"/>
                <w:sz w:val="18"/>
                <w:szCs w:val="18"/>
              </w:rPr>
              <w:t>pant</w:t>
            </w:r>
            <w:r>
              <w:rPr>
                <w:b/>
                <w:bCs/>
                <w:color w:val="000000"/>
                <w:sz w:val="18"/>
                <w:szCs w:val="18"/>
              </w:rPr>
              <w:t>a prasību neievērošan</w:t>
            </w:r>
            <w:r w:rsidR="00C77F1D">
              <w:rPr>
                <w:b/>
                <w:bCs/>
                <w:color w:val="000000"/>
                <w:sz w:val="18"/>
                <w:szCs w:val="18"/>
              </w:rPr>
              <w:t>a</w:t>
            </w:r>
          </w:p>
        </w:tc>
        <w:tc>
          <w:tcPr>
            <w:tcW w:w="2410" w:type="dxa"/>
            <w:tcBorders>
              <w:top w:val="single" w:sz="4" w:space="0" w:color="auto"/>
              <w:left w:val="single" w:sz="4" w:space="0" w:color="auto"/>
              <w:bottom w:val="single" w:sz="4" w:space="0" w:color="auto"/>
              <w:right w:val="single" w:sz="4" w:space="0" w:color="auto"/>
            </w:tcBorders>
          </w:tcPr>
          <w:p w14:paraId="080FD3C0"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5780AD2" w14:textId="77777777" w:rsidR="007A2CA8" w:rsidRDefault="007A2CA8" w:rsidP="007A2CA8">
            <w:pPr>
              <w:ind w:hanging="19"/>
              <w:jc w:val="center"/>
              <w:rPr>
                <w:sz w:val="28"/>
                <w:szCs w:val="28"/>
              </w:rPr>
            </w:pPr>
            <w:r>
              <w:rPr>
                <w:sz w:val="28"/>
                <w:szCs w:val="28"/>
              </w:rPr>
              <w:t>X</w:t>
            </w:r>
          </w:p>
          <w:p w14:paraId="19441D57" w14:textId="77777777" w:rsidR="007A2CA8" w:rsidRDefault="007A2CA8" w:rsidP="007A2CA8">
            <w:pPr>
              <w:ind w:hanging="19"/>
              <w:jc w:val="center"/>
              <w:rPr>
                <w:sz w:val="28"/>
                <w:szCs w:val="28"/>
              </w:rPr>
            </w:pPr>
          </w:p>
          <w:p w14:paraId="6526609B" w14:textId="77777777" w:rsidR="007A2CA8" w:rsidRPr="00DD4199" w:rsidRDefault="007A2CA8" w:rsidP="007A2CA8">
            <w:pPr>
              <w:ind w:firstLine="0"/>
              <w:jc w:val="center"/>
              <w:rPr>
                <w:b/>
                <w:bCs/>
                <w:sz w:val="18"/>
                <w:szCs w:val="18"/>
              </w:rPr>
            </w:pPr>
            <w:r w:rsidRPr="00DD4199">
              <w:rPr>
                <w:b/>
                <w:bCs/>
                <w:sz w:val="18"/>
                <w:szCs w:val="18"/>
              </w:rPr>
              <w:t>Kritēriji:</w:t>
            </w:r>
          </w:p>
          <w:p w14:paraId="623B1D87" w14:textId="7B6C5145" w:rsidR="007A2CA8" w:rsidRPr="00C0059D" w:rsidRDefault="007A2CA8" w:rsidP="007A2CA8">
            <w:pPr>
              <w:ind w:firstLine="0"/>
              <w:jc w:val="center"/>
              <w:rPr>
                <w:sz w:val="18"/>
                <w:szCs w:val="18"/>
              </w:rPr>
            </w:pPr>
            <w:r w:rsidRPr="00C0059D">
              <w:rPr>
                <w:sz w:val="18"/>
                <w:szCs w:val="18"/>
              </w:rPr>
              <w:t>Nekavējoša informācijas nesniegšana par darbības atjaunošanas plāna pasākuma īstenošanu</w:t>
            </w:r>
          </w:p>
        </w:tc>
        <w:tc>
          <w:tcPr>
            <w:tcW w:w="2410" w:type="dxa"/>
            <w:tcBorders>
              <w:top w:val="single" w:sz="4" w:space="0" w:color="auto"/>
              <w:left w:val="single" w:sz="4" w:space="0" w:color="auto"/>
              <w:bottom w:val="single" w:sz="4" w:space="0" w:color="auto"/>
              <w:right w:val="single" w:sz="4" w:space="0" w:color="auto"/>
            </w:tcBorders>
          </w:tcPr>
          <w:p w14:paraId="31F0C754" w14:textId="77777777" w:rsidR="007A2CA8" w:rsidRDefault="007A2CA8" w:rsidP="007A2CA8">
            <w:pPr>
              <w:ind w:hanging="19"/>
              <w:jc w:val="center"/>
              <w:rPr>
                <w:sz w:val="28"/>
                <w:szCs w:val="28"/>
              </w:rPr>
            </w:pPr>
            <w:r>
              <w:rPr>
                <w:sz w:val="28"/>
                <w:szCs w:val="28"/>
              </w:rPr>
              <w:t>X</w:t>
            </w:r>
          </w:p>
          <w:p w14:paraId="7D1BA6F9" w14:textId="77777777" w:rsidR="007A2CA8" w:rsidRDefault="007A2CA8" w:rsidP="007A2CA8">
            <w:pPr>
              <w:ind w:hanging="19"/>
              <w:jc w:val="center"/>
              <w:rPr>
                <w:sz w:val="28"/>
                <w:szCs w:val="28"/>
              </w:rPr>
            </w:pPr>
          </w:p>
          <w:p w14:paraId="28E186E9" w14:textId="77777777" w:rsidR="007A2CA8" w:rsidRPr="00DD4199" w:rsidRDefault="007A2CA8" w:rsidP="007A2CA8">
            <w:pPr>
              <w:ind w:firstLine="0"/>
              <w:jc w:val="center"/>
              <w:rPr>
                <w:b/>
                <w:bCs/>
                <w:sz w:val="18"/>
                <w:szCs w:val="18"/>
              </w:rPr>
            </w:pPr>
            <w:r w:rsidRPr="00DD4199">
              <w:rPr>
                <w:b/>
                <w:bCs/>
                <w:sz w:val="18"/>
                <w:szCs w:val="18"/>
              </w:rPr>
              <w:t>Kritēriji:</w:t>
            </w:r>
          </w:p>
          <w:p w14:paraId="10E8A767" w14:textId="3C3B6D93" w:rsidR="007A2CA8" w:rsidRPr="00C0059D" w:rsidRDefault="007A2CA8" w:rsidP="007A2CA8">
            <w:pPr>
              <w:ind w:firstLine="0"/>
              <w:jc w:val="center"/>
              <w:rPr>
                <w:sz w:val="18"/>
                <w:szCs w:val="18"/>
              </w:rPr>
            </w:pPr>
            <w:r w:rsidRPr="00C0059D">
              <w:rPr>
                <w:sz w:val="18"/>
                <w:szCs w:val="18"/>
              </w:rPr>
              <w:t xml:space="preserve">Darbības atjaunošanas plānā </w:t>
            </w:r>
            <w:r>
              <w:rPr>
                <w:sz w:val="18"/>
                <w:szCs w:val="18"/>
              </w:rPr>
              <w:t>ilgstoši netiek</w:t>
            </w:r>
            <w:r w:rsidRPr="00C0059D">
              <w:rPr>
                <w:sz w:val="18"/>
                <w:szCs w:val="18"/>
              </w:rPr>
              <w:t xml:space="preserve"> ietverta aktuālā informācija un tas netiek aktualizēts</w:t>
            </w:r>
          </w:p>
        </w:tc>
        <w:tc>
          <w:tcPr>
            <w:tcW w:w="2409" w:type="dxa"/>
            <w:tcBorders>
              <w:top w:val="single" w:sz="4" w:space="0" w:color="auto"/>
              <w:left w:val="single" w:sz="4" w:space="0" w:color="auto"/>
              <w:bottom w:val="single" w:sz="4" w:space="0" w:color="auto"/>
              <w:right w:val="single" w:sz="4" w:space="0" w:color="auto"/>
            </w:tcBorders>
          </w:tcPr>
          <w:p w14:paraId="6F015436" w14:textId="77777777" w:rsidR="007A2CA8" w:rsidRDefault="007A2CA8" w:rsidP="007A2CA8">
            <w:pPr>
              <w:ind w:hanging="19"/>
              <w:jc w:val="center"/>
              <w:rPr>
                <w:sz w:val="28"/>
                <w:szCs w:val="28"/>
              </w:rPr>
            </w:pPr>
            <w:r>
              <w:rPr>
                <w:sz w:val="28"/>
                <w:szCs w:val="28"/>
              </w:rPr>
              <w:t>X</w:t>
            </w:r>
          </w:p>
          <w:p w14:paraId="210884F8" w14:textId="77777777" w:rsidR="007A2CA8" w:rsidRDefault="007A2CA8" w:rsidP="007A2CA8">
            <w:pPr>
              <w:ind w:hanging="19"/>
              <w:jc w:val="center"/>
              <w:rPr>
                <w:sz w:val="28"/>
                <w:szCs w:val="28"/>
              </w:rPr>
            </w:pPr>
          </w:p>
          <w:p w14:paraId="5EE1E08E" w14:textId="77777777" w:rsidR="007A2CA8" w:rsidRPr="00DD4199" w:rsidRDefault="007A2CA8" w:rsidP="007A2CA8">
            <w:pPr>
              <w:ind w:firstLine="0"/>
              <w:jc w:val="center"/>
              <w:rPr>
                <w:b/>
                <w:bCs/>
                <w:sz w:val="18"/>
                <w:szCs w:val="18"/>
              </w:rPr>
            </w:pPr>
            <w:r w:rsidRPr="00DD4199">
              <w:rPr>
                <w:b/>
                <w:bCs/>
                <w:sz w:val="18"/>
                <w:szCs w:val="18"/>
              </w:rPr>
              <w:t>Kritēriji:</w:t>
            </w:r>
          </w:p>
          <w:p w14:paraId="486AC859" w14:textId="350B71D9" w:rsidR="007A2CA8" w:rsidRPr="00C0059D" w:rsidRDefault="007A2CA8" w:rsidP="007A2CA8">
            <w:pPr>
              <w:ind w:firstLine="0"/>
              <w:jc w:val="center"/>
              <w:rPr>
                <w:sz w:val="18"/>
                <w:szCs w:val="18"/>
              </w:rPr>
            </w:pPr>
            <w:r>
              <w:rPr>
                <w:sz w:val="18"/>
                <w:szCs w:val="18"/>
              </w:rPr>
              <w:t>Ilgstoši n</w:t>
            </w:r>
            <w:r w:rsidRPr="00C0059D">
              <w:rPr>
                <w:sz w:val="18"/>
                <w:szCs w:val="18"/>
              </w:rPr>
              <w:t>av izstrādāts darbības atjaunošanas plāns</w:t>
            </w:r>
          </w:p>
        </w:tc>
      </w:tr>
      <w:tr w:rsidR="007A2CA8" w:rsidRPr="008527D7" w14:paraId="3B051C6E" w14:textId="77777777" w:rsidTr="009F4CC4">
        <w:trPr>
          <w:trHeight w:val="567"/>
        </w:trPr>
        <w:tc>
          <w:tcPr>
            <w:tcW w:w="1717" w:type="dxa"/>
            <w:gridSpan w:val="2"/>
            <w:tcBorders>
              <w:top w:val="single" w:sz="4" w:space="0" w:color="auto"/>
              <w:left w:val="single" w:sz="4" w:space="0" w:color="auto"/>
              <w:bottom w:val="single" w:sz="4" w:space="0" w:color="auto"/>
              <w:right w:val="single" w:sz="4" w:space="0" w:color="auto"/>
            </w:tcBorders>
          </w:tcPr>
          <w:p w14:paraId="217A92D2" w14:textId="0D84667C" w:rsidR="007A2CA8" w:rsidRPr="00C0059D" w:rsidRDefault="007A2CA8" w:rsidP="007A2CA8">
            <w:pPr>
              <w:ind w:firstLine="0"/>
              <w:jc w:val="left"/>
              <w:rPr>
                <w:b/>
                <w:bCs/>
                <w:color w:val="000000"/>
                <w:sz w:val="18"/>
                <w:szCs w:val="18"/>
              </w:rPr>
            </w:pPr>
            <w:r w:rsidRPr="00F50B8A">
              <w:rPr>
                <w:b/>
                <w:bCs/>
                <w:color w:val="000000"/>
                <w:sz w:val="18"/>
                <w:szCs w:val="18"/>
              </w:rPr>
              <w:t>Kredītiestāžu un ieguldījumu brokeru sabiedrību darbības atjaunošanas un noregulējuma likum</w:t>
            </w:r>
            <w:r w:rsidR="002D1767">
              <w:rPr>
                <w:b/>
                <w:bCs/>
                <w:color w:val="000000"/>
                <w:sz w:val="18"/>
                <w:szCs w:val="18"/>
              </w:rPr>
              <w:t>a</w:t>
            </w:r>
            <w:r w:rsidRPr="00F50B8A">
              <w:rPr>
                <w:b/>
                <w:bCs/>
                <w:color w:val="000000"/>
                <w:sz w:val="18"/>
                <w:szCs w:val="18"/>
              </w:rPr>
              <w:t xml:space="preserve"> 12.</w:t>
            </w:r>
            <w:r>
              <w:rPr>
                <w:b/>
                <w:bCs/>
                <w:color w:val="000000"/>
                <w:sz w:val="18"/>
                <w:szCs w:val="18"/>
              </w:rPr>
              <w:t xml:space="preserve"> un 30.</w:t>
            </w:r>
            <w:r w:rsidR="005527FE">
              <w:rPr>
                <w:b/>
                <w:bCs/>
                <w:color w:val="000000"/>
                <w:sz w:val="18"/>
                <w:szCs w:val="18"/>
              </w:rPr>
              <w:t> </w:t>
            </w:r>
            <w:r w:rsidRPr="00F50B8A">
              <w:rPr>
                <w:b/>
                <w:bCs/>
                <w:color w:val="000000"/>
                <w:sz w:val="18"/>
                <w:szCs w:val="18"/>
              </w:rPr>
              <w:t>pants</w:t>
            </w:r>
          </w:p>
        </w:tc>
        <w:tc>
          <w:tcPr>
            <w:tcW w:w="2409" w:type="dxa"/>
            <w:tcBorders>
              <w:top w:val="single" w:sz="4" w:space="0" w:color="auto"/>
              <w:left w:val="single" w:sz="4" w:space="0" w:color="auto"/>
              <w:bottom w:val="single" w:sz="4" w:space="0" w:color="auto"/>
              <w:right w:val="single" w:sz="4" w:space="0" w:color="auto"/>
            </w:tcBorders>
          </w:tcPr>
          <w:p w14:paraId="765F4EF0" w14:textId="116D18F9" w:rsidR="007A2CA8" w:rsidRDefault="007A2CA8" w:rsidP="007A2CA8">
            <w:pPr>
              <w:ind w:firstLine="0"/>
              <w:jc w:val="left"/>
              <w:rPr>
                <w:b/>
                <w:sz w:val="18"/>
                <w:szCs w:val="18"/>
              </w:rPr>
            </w:pPr>
            <w:r>
              <w:rPr>
                <w:b/>
                <w:sz w:val="18"/>
                <w:szCs w:val="18"/>
              </w:rPr>
              <w:t xml:space="preserve">17. </w:t>
            </w:r>
            <w:r w:rsidRPr="00C0059D">
              <w:rPr>
                <w:b/>
                <w:bCs/>
                <w:color w:val="000000"/>
                <w:sz w:val="18"/>
                <w:szCs w:val="18"/>
              </w:rPr>
              <w:t>Kredītiestāžu un ieguldījumu brokeru sabiedrību darbības atjaunošanas un noregulējuma likum</w:t>
            </w:r>
            <w:r>
              <w:rPr>
                <w:b/>
                <w:bCs/>
                <w:color w:val="000000"/>
                <w:sz w:val="18"/>
                <w:szCs w:val="18"/>
              </w:rPr>
              <w:t>a</w:t>
            </w:r>
            <w:r w:rsidRPr="00C0059D">
              <w:rPr>
                <w:b/>
                <w:bCs/>
                <w:color w:val="000000"/>
                <w:sz w:val="18"/>
                <w:szCs w:val="18"/>
              </w:rPr>
              <w:t xml:space="preserve"> </w:t>
            </w:r>
            <w:r>
              <w:rPr>
                <w:b/>
                <w:bCs/>
                <w:color w:val="000000"/>
                <w:sz w:val="18"/>
                <w:szCs w:val="18"/>
              </w:rPr>
              <w:t>12</w:t>
            </w:r>
            <w:r w:rsidRPr="00C0059D">
              <w:rPr>
                <w:b/>
                <w:bCs/>
                <w:color w:val="000000"/>
                <w:sz w:val="18"/>
                <w:szCs w:val="18"/>
              </w:rPr>
              <w:t>.</w:t>
            </w:r>
            <w:r>
              <w:rPr>
                <w:b/>
                <w:bCs/>
                <w:color w:val="000000"/>
                <w:sz w:val="18"/>
                <w:szCs w:val="18"/>
              </w:rPr>
              <w:t xml:space="preserve"> un 30. </w:t>
            </w:r>
            <w:r w:rsidRPr="00C0059D">
              <w:rPr>
                <w:b/>
                <w:bCs/>
                <w:color w:val="000000"/>
                <w:sz w:val="18"/>
                <w:szCs w:val="18"/>
              </w:rPr>
              <w:t>pant</w:t>
            </w:r>
            <w:r>
              <w:rPr>
                <w:b/>
                <w:bCs/>
                <w:color w:val="000000"/>
                <w:sz w:val="18"/>
                <w:szCs w:val="18"/>
              </w:rPr>
              <w:t>a prasību neievērošan</w:t>
            </w:r>
            <w:r w:rsidR="00C77F1D">
              <w:rPr>
                <w:b/>
                <w:bCs/>
                <w:color w:val="000000"/>
                <w:sz w:val="18"/>
                <w:szCs w:val="18"/>
              </w:rPr>
              <w:t>a</w:t>
            </w:r>
          </w:p>
        </w:tc>
        <w:tc>
          <w:tcPr>
            <w:tcW w:w="2410" w:type="dxa"/>
            <w:tcBorders>
              <w:top w:val="single" w:sz="4" w:space="0" w:color="auto"/>
              <w:left w:val="single" w:sz="4" w:space="0" w:color="auto"/>
              <w:bottom w:val="single" w:sz="4" w:space="0" w:color="auto"/>
              <w:right w:val="single" w:sz="4" w:space="0" w:color="auto"/>
            </w:tcBorders>
          </w:tcPr>
          <w:p w14:paraId="4164466C"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EEE732D" w14:textId="6D657E5E" w:rsidR="007A2CA8" w:rsidRDefault="007A2CA8" w:rsidP="007A2CA8">
            <w:pPr>
              <w:ind w:hanging="19"/>
              <w:jc w:val="center"/>
              <w:rPr>
                <w:sz w:val="28"/>
                <w:szCs w:val="28"/>
              </w:rPr>
            </w:pPr>
            <w:r>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5CC56C4C" w14:textId="77777777" w:rsidR="007A2CA8" w:rsidRDefault="007A2CA8" w:rsidP="007A2CA8">
            <w:pPr>
              <w:ind w:hanging="19"/>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14:paraId="1CD88F7B" w14:textId="77777777" w:rsidR="007A2CA8" w:rsidRDefault="007A2CA8" w:rsidP="007A2CA8">
            <w:pPr>
              <w:ind w:hanging="19"/>
              <w:jc w:val="center"/>
              <w:rPr>
                <w:sz w:val="28"/>
                <w:szCs w:val="28"/>
              </w:rPr>
            </w:pPr>
          </w:p>
        </w:tc>
      </w:tr>
      <w:tr w:rsidR="007A2CA8" w:rsidRPr="008527D7" w14:paraId="15CC79D7" w14:textId="77777777" w:rsidTr="009F4CC4">
        <w:trPr>
          <w:trHeight w:val="567"/>
        </w:trPr>
        <w:tc>
          <w:tcPr>
            <w:tcW w:w="1717" w:type="dxa"/>
            <w:gridSpan w:val="2"/>
            <w:tcBorders>
              <w:top w:val="single" w:sz="4" w:space="0" w:color="auto"/>
              <w:left w:val="single" w:sz="4" w:space="0" w:color="auto"/>
              <w:bottom w:val="single" w:sz="4" w:space="0" w:color="auto"/>
              <w:right w:val="single" w:sz="4" w:space="0" w:color="auto"/>
            </w:tcBorders>
          </w:tcPr>
          <w:p w14:paraId="01831CBB" w14:textId="2163D077" w:rsidR="007A2CA8" w:rsidRPr="00F50B8A" w:rsidRDefault="007A2CA8" w:rsidP="007A2CA8">
            <w:pPr>
              <w:ind w:firstLine="0"/>
              <w:jc w:val="left"/>
              <w:rPr>
                <w:b/>
                <w:bCs/>
                <w:color w:val="000000"/>
                <w:sz w:val="18"/>
                <w:szCs w:val="18"/>
              </w:rPr>
            </w:pPr>
            <w:r w:rsidRPr="00F50B8A">
              <w:rPr>
                <w:b/>
                <w:bCs/>
                <w:color w:val="000000"/>
                <w:sz w:val="18"/>
                <w:szCs w:val="18"/>
              </w:rPr>
              <w:t>Ieguldītāju aizsardzības likum</w:t>
            </w:r>
            <w:r w:rsidR="002D1767">
              <w:rPr>
                <w:b/>
                <w:bCs/>
                <w:color w:val="000000"/>
                <w:sz w:val="18"/>
                <w:szCs w:val="18"/>
              </w:rPr>
              <w:t>a</w:t>
            </w:r>
            <w:r w:rsidRPr="00F50B8A">
              <w:rPr>
                <w:b/>
                <w:bCs/>
                <w:color w:val="000000"/>
                <w:sz w:val="18"/>
                <w:szCs w:val="18"/>
              </w:rPr>
              <w:t xml:space="preserve"> 14.</w:t>
            </w:r>
            <w:r>
              <w:rPr>
                <w:b/>
                <w:bCs/>
                <w:color w:val="000000"/>
                <w:sz w:val="18"/>
                <w:szCs w:val="18"/>
              </w:rPr>
              <w:t xml:space="preserve"> </w:t>
            </w:r>
            <w:r w:rsidRPr="00F50B8A">
              <w:rPr>
                <w:b/>
                <w:bCs/>
                <w:color w:val="000000"/>
                <w:sz w:val="18"/>
                <w:szCs w:val="18"/>
              </w:rPr>
              <w:t>pants</w:t>
            </w:r>
          </w:p>
        </w:tc>
        <w:tc>
          <w:tcPr>
            <w:tcW w:w="2409" w:type="dxa"/>
            <w:tcBorders>
              <w:top w:val="single" w:sz="4" w:space="0" w:color="auto"/>
              <w:left w:val="single" w:sz="4" w:space="0" w:color="auto"/>
              <w:bottom w:val="single" w:sz="4" w:space="0" w:color="auto"/>
              <w:right w:val="single" w:sz="4" w:space="0" w:color="auto"/>
            </w:tcBorders>
          </w:tcPr>
          <w:p w14:paraId="1DF1DD05" w14:textId="78E468EC" w:rsidR="007A2CA8" w:rsidRDefault="007A2CA8" w:rsidP="007A2CA8">
            <w:pPr>
              <w:ind w:firstLine="0"/>
              <w:jc w:val="left"/>
              <w:rPr>
                <w:b/>
                <w:sz w:val="18"/>
                <w:szCs w:val="18"/>
              </w:rPr>
            </w:pPr>
            <w:r>
              <w:rPr>
                <w:b/>
                <w:sz w:val="18"/>
                <w:szCs w:val="18"/>
              </w:rPr>
              <w:t xml:space="preserve">18. </w:t>
            </w:r>
            <w:r w:rsidRPr="00F50B8A">
              <w:rPr>
                <w:b/>
                <w:bCs/>
                <w:color w:val="000000"/>
                <w:sz w:val="18"/>
                <w:szCs w:val="18"/>
              </w:rPr>
              <w:t>Ieguldītāju aizsardzības likum</w:t>
            </w:r>
            <w:r w:rsidR="002D1767">
              <w:rPr>
                <w:b/>
                <w:bCs/>
                <w:color w:val="000000"/>
                <w:sz w:val="18"/>
                <w:szCs w:val="18"/>
              </w:rPr>
              <w:t>a</w:t>
            </w:r>
            <w:r w:rsidRPr="00F50B8A">
              <w:rPr>
                <w:b/>
                <w:bCs/>
                <w:color w:val="000000"/>
                <w:sz w:val="18"/>
                <w:szCs w:val="18"/>
              </w:rPr>
              <w:t xml:space="preserve"> 14.</w:t>
            </w:r>
            <w:r w:rsidR="002D1767">
              <w:rPr>
                <w:b/>
                <w:bCs/>
                <w:color w:val="000000"/>
                <w:sz w:val="18"/>
                <w:szCs w:val="18"/>
              </w:rPr>
              <w:t> </w:t>
            </w:r>
            <w:r w:rsidRPr="00F50B8A">
              <w:rPr>
                <w:b/>
                <w:bCs/>
                <w:color w:val="000000"/>
                <w:sz w:val="18"/>
                <w:szCs w:val="18"/>
              </w:rPr>
              <w:t>pant</w:t>
            </w:r>
            <w:r>
              <w:rPr>
                <w:b/>
                <w:bCs/>
                <w:color w:val="000000"/>
                <w:sz w:val="18"/>
                <w:szCs w:val="18"/>
              </w:rPr>
              <w:t>a prasību neievērošan</w:t>
            </w:r>
            <w:r w:rsidR="00C77F1D">
              <w:rPr>
                <w:b/>
                <w:bCs/>
                <w:color w:val="000000"/>
                <w:sz w:val="18"/>
                <w:szCs w:val="18"/>
              </w:rPr>
              <w:t>a</w:t>
            </w:r>
          </w:p>
        </w:tc>
        <w:tc>
          <w:tcPr>
            <w:tcW w:w="2410" w:type="dxa"/>
            <w:tcBorders>
              <w:top w:val="single" w:sz="4" w:space="0" w:color="auto"/>
              <w:left w:val="single" w:sz="4" w:space="0" w:color="auto"/>
              <w:bottom w:val="single" w:sz="4" w:space="0" w:color="auto"/>
              <w:right w:val="single" w:sz="4" w:space="0" w:color="auto"/>
            </w:tcBorders>
          </w:tcPr>
          <w:p w14:paraId="62B8CD4D"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6A8E90F" w14:textId="0F133DC2" w:rsidR="007A2CA8" w:rsidRDefault="007A2CA8" w:rsidP="007A2CA8">
            <w:pPr>
              <w:ind w:hanging="19"/>
              <w:jc w:val="center"/>
              <w:rPr>
                <w:sz w:val="28"/>
                <w:szCs w:val="28"/>
              </w:rPr>
            </w:pPr>
            <w:r>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7901E420" w14:textId="77777777" w:rsidR="007A2CA8" w:rsidRDefault="007A2CA8" w:rsidP="007A2CA8">
            <w:pPr>
              <w:ind w:hanging="19"/>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14:paraId="58998D3E" w14:textId="77777777" w:rsidR="007A2CA8" w:rsidRDefault="007A2CA8" w:rsidP="007A2CA8">
            <w:pPr>
              <w:ind w:hanging="19"/>
              <w:jc w:val="center"/>
              <w:rPr>
                <w:sz w:val="28"/>
                <w:szCs w:val="28"/>
              </w:rPr>
            </w:pPr>
          </w:p>
        </w:tc>
      </w:tr>
      <w:tr w:rsidR="007A2CA8" w:rsidRPr="008527D7" w14:paraId="78695ACC" w14:textId="77777777" w:rsidTr="009F4CC4">
        <w:trPr>
          <w:trHeight w:val="567"/>
        </w:trPr>
        <w:tc>
          <w:tcPr>
            <w:tcW w:w="1717" w:type="dxa"/>
            <w:gridSpan w:val="2"/>
            <w:tcBorders>
              <w:top w:val="single" w:sz="4" w:space="0" w:color="auto"/>
              <w:left w:val="single" w:sz="4" w:space="0" w:color="auto"/>
              <w:bottom w:val="single" w:sz="4" w:space="0" w:color="auto"/>
              <w:right w:val="single" w:sz="4" w:space="0" w:color="auto"/>
            </w:tcBorders>
          </w:tcPr>
          <w:p w14:paraId="7C6A2BD8" w14:textId="2C9CDDD9" w:rsidR="007A2CA8" w:rsidRPr="00F50B8A" w:rsidRDefault="00D93669" w:rsidP="007A2CA8">
            <w:pPr>
              <w:ind w:firstLine="0"/>
              <w:jc w:val="left"/>
              <w:rPr>
                <w:b/>
                <w:bCs/>
                <w:color w:val="000000"/>
                <w:sz w:val="18"/>
                <w:szCs w:val="18"/>
              </w:rPr>
            </w:pPr>
            <w:r>
              <w:rPr>
                <w:b/>
                <w:bCs/>
                <w:color w:val="000000"/>
                <w:sz w:val="18"/>
                <w:szCs w:val="18"/>
              </w:rPr>
              <w:lastRenderedPageBreak/>
              <w:t>R</w:t>
            </w:r>
            <w:r w:rsidR="007A2CA8" w:rsidRPr="00F50B8A">
              <w:rPr>
                <w:b/>
                <w:bCs/>
                <w:color w:val="000000"/>
                <w:sz w:val="18"/>
                <w:szCs w:val="18"/>
              </w:rPr>
              <w:t>egula</w:t>
            </w:r>
            <w:r>
              <w:rPr>
                <w:b/>
                <w:bCs/>
                <w:color w:val="000000"/>
                <w:sz w:val="18"/>
                <w:szCs w:val="18"/>
              </w:rPr>
              <w:t>s</w:t>
            </w:r>
            <w:r w:rsidR="007A2CA8" w:rsidRPr="00F50B8A">
              <w:rPr>
                <w:b/>
                <w:bCs/>
                <w:color w:val="000000"/>
                <w:sz w:val="18"/>
                <w:szCs w:val="18"/>
              </w:rPr>
              <w:t xml:space="preserve"> Nr.</w:t>
            </w:r>
            <w:r w:rsidR="005B7BC4">
              <w:rPr>
                <w:b/>
                <w:bCs/>
                <w:color w:val="000000"/>
                <w:sz w:val="18"/>
                <w:szCs w:val="18"/>
              </w:rPr>
              <w:t> </w:t>
            </w:r>
            <w:r w:rsidR="007A2CA8" w:rsidRPr="00F50B8A">
              <w:rPr>
                <w:b/>
                <w:bCs/>
                <w:color w:val="000000"/>
                <w:sz w:val="18"/>
                <w:szCs w:val="18"/>
              </w:rPr>
              <w:t>806/2014</w:t>
            </w:r>
            <w:r w:rsidR="00A07608">
              <w:rPr>
                <w:rStyle w:val="FootnoteReference"/>
                <w:b/>
                <w:bCs/>
                <w:color w:val="000000"/>
                <w:sz w:val="18"/>
                <w:szCs w:val="18"/>
              </w:rPr>
              <w:footnoteReference w:id="8"/>
            </w:r>
            <w:r w:rsidR="007A2CA8" w:rsidRPr="00F50B8A">
              <w:rPr>
                <w:b/>
                <w:bCs/>
                <w:color w:val="000000"/>
                <w:sz w:val="18"/>
                <w:szCs w:val="18"/>
              </w:rPr>
              <w:t xml:space="preserve"> (Vienotā </w:t>
            </w:r>
            <w:r w:rsidR="00A07608">
              <w:rPr>
                <w:b/>
                <w:bCs/>
                <w:color w:val="000000"/>
                <w:sz w:val="18"/>
                <w:szCs w:val="18"/>
              </w:rPr>
              <w:t>n</w:t>
            </w:r>
            <w:r w:rsidR="007A2CA8" w:rsidRPr="00F50B8A">
              <w:rPr>
                <w:b/>
                <w:bCs/>
                <w:color w:val="000000"/>
                <w:sz w:val="18"/>
                <w:szCs w:val="18"/>
              </w:rPr>
              <w:t xml:space="preserve">oregulējuma </w:t>
            </w:r>
            <w:r w:rsidR="00A07608">
              <w:rPr>
                <w:b/>
                <w:bCs/>
                <w:color w:val="000000"/>
                <w:sz w:val="18"/>
                <w:szCs w:val="18"/>
              </w:rPr>
              <w:t>r</w:t>
            </w:r>
            <w:r w:rsidR="007A2CA8" w:rsidRPr="00F50B8A">
              <w:rPr>
                <w:b/>
                <w:bCs/>
                <w:color w:val="000000"/>
                <w:sz w:val="18"/>
                <w:szCs w:val="18"/>
              </w:rPr>
              <w:t>egula) 38.</w:t>
            </w:r>
            <w:r w:rsidR="005B7BC4">
              <w:rPr>
                <w:b/>
                <w:bCs/>
                <w:color w:val="000000"/>
                <w:sz w:val="18"/>
                <w:szCs w:val="18"/>
              </w:rPr>
              <w:t> </w:t>
            </w:r>
            <w:r w:rsidR="007A2CA8" w:rsidRPr="00F50B8A">
              <w:rPr>
                <w:b/>
                <w:bCs/>
                <w:color w:val="000000"/>
                <w:sz w:val="18"/>
                <w:szCs w:val="18"/>
              </w:rPr>
              <w:t>pants</w:t>
            </w:r>
          </w:p>
        </w:tc>
        <w:tc>
          <w:tcPr>
            <w:tcW w:w="2409" w:type="dxa"/>
            <w:tcBorders>
              <w:top w:val="single" w:sz="4" w:space="0" w:color="auto"/>
              <w:left w:val="single" w:sz="4" w:space="0" w:color="auto"/>
              <w:bottom w:val="single" w:sz="4" w:space="0" w:color="auto"/>
              <w:right w:val="single" w:sz="4" w:space="0" w:color="auto"/>
            </w:tcBorders>
          </w:tcPr>
          <w:p w14:paraId="1020F5CF" w14:textId="46A58E1D" w:rsidR="007A2CA8" w:rsidRDefault="007A2CA8" w:rsidP="007A2CA8">
            <w:pPr>
              <w:ind w:firstLine="0"/>
              <w:jc w:val="left"/>
              <w:rPr>
                <w:b/>
                <w:sz w:val="18"/>
                <w:szCs w:val="18"/>
              </w:rPr>
            </w:pPr>
            <w:r>
              <w:rPr>
                <w:b/>
                <w:sz w:val="18"/>
                <w:szCs w:val="18"/>
              </w:rPr>
              <w:t xml:space="preserve">19. </w:t>
            </w:r>
            <w:r w:rsidR="00D93669">
              <w:rPr>
                <w:b/>
                <w:sz w:val="18"/>
                <w:szCs w:val="18"/>
              </w:rPr>
              <w:t>R</w:t>
            </w:r>
            <w:r w:rsidRPr="00F50B8A">
              <w:rPr>
                <w:b/>
                <w:sz w:val="18"/>
                <w:szCs w:val="18"/>
              </w:rPr>
              <w:t>egula</w:t>
            </w:r>
            <w:r w:rsidR="00D93669">
              <w:rPr>
                <w:b/>
                <w:sz w:val="18"/>
                <w:szCs w:val="18"/>
              </w:rPr>
              <w:t>s</w:t>
            </w:r>
            <w:r w:rsidRPr="00F50B8A">
              <w:rPr>
                <w:b/>
                <w:sz w:val="18"/>
                <w:szCs w:val="18"/>
              </w:rPr>
              <w:t xml:space="preserve"> Nr.</w:t>
            </w:r>
            <w:r w:rsidR="00D93669">
              <w:rPr>
                <w:b/>
                <w:sz w:val="18"/>
                <w:szCs w:val="18"/>
              </w:rPr>
              <w:t> </w:t>
            </w:r>
            <w:r w:rsidRPr="00F50B8A">
              <w:rPr>
                <w:b/>
                <w:sz w:val="18"/>
                <w:szCs w:val="18"/>
              </w:rPr>
              <w:t>806/2014 38.</w:t>
            </w:r>
            <w:r w:rsidR="00D93669">
              <w:rPr>
                <w:b/>
                <w:sz w:val="18"/>
                <w:szCs w:val="18"/>
              </w:rPr>
              <w:t> </w:t>
            </w:r>
            <w:r w:rsidRPr="00F50B8A">
              <w:rPr>
                <w:b/>
                <w:sz w:val="18"/>
                <w:szCs w:val="18"/>
              </w:rPr>
              <w:t>pant</w:t>
            </w:r>
            <w:r>
              <w:rPr>
                <w:b/>
                <w:sz w:val="18"/>
                <w:szCs w:val="18"/>
              </w:rPr>
              <w:t>a prasību neievērošan</w:t>
            </w:r>
            <w:r w:rsidR="00C77F1D">
              <w:rPr>
                <w:b/>
                <w:sz w:val="18"/>
                <w:szCs w:val="18"/>
              </w:rPr>
              <w:t>a</w:t>
            </w:r>
          </w:p>
        </w:tc>
        <w:tc>
          <w:tcPr>
            <w:tcW w:w="2410" w:type="dxa"/>
            <w:tcBorders>
              <w:top w:val="single" w:sz="4" w:space="0" w:color="auto"/>
              <w:left w:val="single" w:sz="4" w:space="0" w:color="auto"/>
              <w:bottom w:val="single" w:sz="4" w:space="0" w:color="auto"/>
              <w:right w:val="single" w:sz="4" w:space="0" w:color="auto"/>
            </w:tcBorders>
          </w:tcPr>
          <w:p w14:paraId="5B82AEE2" w14:textId="77777777" w:rsidR="007A2CA8" w:rsidRPr="008527D7" w:rsidRDefault="007A2CA8" w:rsidP="007A2CA8">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86DB329" w14:textId="77777777" w:rsidR="007A2CA8" w:rsidRDefault="007A2CA8" w:rsidP="007A2CA8">
            <w:pPr>
              <w:ind w:hanging="19"/>
              <w:jc w:val="center"/>
              <w:rPr>
                <w:sz w:val="28"/>
                <w:szCs w:val="28"/>
              </w:rPr>
            </w:pPr>
            <w:r>
              <w:rPr>
                <w:sz w:val="28"/>
                <w:szCs w:val="28"/>
              </w:rPr>
              <w:t>X</w:t>
            </w:r>
          </w:p>
          <w:p w14:paraId="037F1D31" w14:textId="77777777" w:rsidR="007A2CA8" w:rsidRDefault="007A2CA8" w:rsidP="007A2CA8">
            <w:pPr>
              <w:ind w:hanging="19"/>
              <w:jc w:val="center"/>
              <w:rPr>
                <w:sz w:val="28"/>
                <w:szCs w:val="28"/>
              </w:rPr>
            </w:pPr>
          </w:p>
          <w:p w14:paraId="3E8F867D" w14:textId="77777777" w:rsidR="007A2CA8" w:rsidRPr="00DD4199" w:rsidRDefault="007A2CA8" w:rsidP="007A2CA8">
            <w:pPr>
              <w:ind w:firstLine="0"/>
              <w:jc w:val="center"/>
              <w:rPr>
                <w:b/>
                <w:bCs/>
                <w:sz w:val="18"/>
                <w:szCs w:val="18"/>
              </w:rPr>
            </w:pPr>
            <w:r w:rsidRPr="00DD4199">
              <w:rPr>
                <w:b/>
                <w:bCs/>
                <w:sz w:val="18"/>
                <w:szCs w:val="18"/>
              </w:rPr>
              <w:t>Kritēriji:</w:t>
            </w:r>
          </w:p>
          <w:p w14:paraId="3F7C0625" w14:textId="62FA1B96" w:rsidR="007A2CA8" w:rsidRDefault="007A2CA8" w:rsidP="007A2CA8">
            <w:pPr>
              <w:ind w:hanging="19"/>
              <w:jc w:val="center"/>
              <w:rPr>
                <w:sz w:val="28"/>
                <w:szCs w:val="28"/>
              </w:rPr>
            </w:pPr>
            <w:r>
              <w:rPr>
                <w:sz w:val="18"/>
                <w:szCs w:val="18"/>
              </w:rPr>
              <w:t>Ilgstošs i</w:t>
            </w:r>
            <w:r w:rsidRPr="00F50B8A">
              <w:rPr>
                <w:sz w:val="18"/>
                <w:szCs w:val="18"/>
              </w:rPr>
              <w:t>nformācijas sniegšanas termiņ</w:t>
            </w:r>
            <w:r>
              <w:rPr>
                <w:sz w:val="18"/>
                <w:szCs w:val="18"/>
              </w:rPr>
              <w:t>a</w:t>
            </w:r>
            <w:r w:rsidRPr="00F50B8A">
              <w:rPr>
                <w:sz w:val="18"/>
                <w:szCs w:val="18"/>
              </w:rPr>
              <w:t xml:space="preserve"> kavējums</w:t>
            </w:r>
          </w:p>
        </w:tc>
        <w:tc>
          <w:tcPr>
            <w:tcW w:w="2410" w:type="dxa"/>
            <w:tcBorders>
              <w:top w:val="single" w:sz="4" w:space="0" w:color="auto"/>
              <w:left w:val="single" w:sz="4" w:space="0" w:color="auto"/>
              <w:bottom w:val="single" w:sz="4" w:space="0" w:color="auto"/>
              <w:right w:val="single" w:sz="4" w:space="0" w:color="auto"/>
            </w:tcBorders>
          </w:tcPr>
          <w:p w14:paraId="366547BD" w14:textId="77777777" w:rsidR="007A2CA8" w:rsidRDefault="007A2CA8" w:rsidP="007A2CA8">
            <w:pPr>
              <w:ind w:hanging="19"/>
              <w:jc w:val="center"/>
              <w:rPr>
                <w:sz w:val="28"/>
                <w:szCs w:val="28"/>
              </w:rPr>
            </w:pPr>
            <w:r>
              <w:rPr>
                <w:sz w:val="28"/>
                <w:szCs w:val="28"/>
              </w:rPr>
              <w:t>X</w:t>
            </w:r>
          </w:p>
          <w:p w14:paraId="667DF3AD" w14:textId="77777777" w:rsidR="007A2CA8" w:rsidRDefault="007A2CA8" w:rsidP="007A2CA8">
            <w:pPr>
              <w:ind w:hanging="19"/>
              <w:jc w:val="center"/>
              <w:rPr>
                <w:sz w:val="28"/>
                <w:szCs w:val="28"/>
              </w:rPr>
            </w:pPr>
          </w:p>
          <w:p w14:paraId="08FA21C5" w14:textId="77777777" w:rsidR="007A2CA8" w:rsidRPr="00DD4199" w:rsidRDefault="007A2CA8" w:rsidP="007A2CA8">
            <w:pPr>
              <w:ind w:firstLine="0"/>
              <w:jc w:val="center"/>
              <w:rPr>
                <w:b/>
                <w:bCs/>
                <w:sz w:val="18"/>
                <w:szCs w:val="18"/>
              </w:rPr>
            </w:pPr>
            <w:r w:rsidRPr="00DD4199">
              <w:rPr>
                <w:b/>
                <w:bCs/>
                <w:sz w:val="18"/>
                <w:szCs w:val="18"/>
              </w:rPr>
              <w:t>Kritēriji:</w:t>
            </w:r>
          </w:p>
          <w:p w14:paraId="3479AE4C" w14:textId="77777777" w:rsidR="00162FCF" w:rsidRDefault="00162FCF" w:rsidP="00162FCF">
            <w:pPr>
              <w:ind w:hanging="19"/>
              <w:jc w:val="center"/>
              <w:rPr>
                <w:sz w:val="18"/>
                <w:szCs w:val="18"/>
              </w:rPr>
            </w:pPr>
            <w:r>
              <w:rPr>
                <w:sz w:val="18"/>
                <w:szCs w:val="18"/>
              </w:rPr>
              <w:t>Ilgstoša n</w:t>
            </w:r>
            <w:r w:rsidRPr="00043AF2">
              <w:rPr>
                <w:sz w:val="18"/>
                <w:szCs w:val="18"/>
              </w:rPr>
              <w:t>esadarbošanās izmeklēšanas procesā</w:t>
            </w:r>
          </w:p>
          <w:p w14:paraId="3B207339" w14:textId="77777777" w:rsidR="00162FCF" w:rsidRDefault="00162FCF" w:rsidP="00162FCF">
            <w:pPr>
              <w:ind w:hanging="19"/>
              <w:jc w:val="center"/>
              <w:rPr>
                <w:sz w:val="18"/>
                <w:szCs w:val="18"/>
              </w:rPr>
            </w:pPr>
            <w:r>
              <w:rPr>
                <w:sz w:val="18"/>
                <w:szCs w:val="18"/>
              </w:rPr>
              <w:t>vai</w:t>
            </w:r>
          </w:p>
          <w:p w14:paraId="14047E74" w14:textId="076F5535" w:rsidR="007A2CA8" w:rsidRDefault="00FE3E18" w:rsidP="00162FCF">
            <w:pPr>
              <w:ind w:hanging="19"/>
              <w:jc w:val="center"/>
              <w:rPr>
                <w:sz w:val="28"/>
                <w:szCs w:val="28"/>
              </w:rPr>
            </w:pPr>
            <w:r>
              <w:rPr>
                <w:sz w:val="18"/>
                <w:szCs w:val="18"/>
              </w:rPr>
              <w:t>i</w:t>
            </w:r>
            <w:r w:rsidR="00162FCF" w:rsidRPr="00043AF2">
              <w:rPr>
                <w:sz w:val="18"/>
                <w:szCs w:val="18"/>
              </w:rPr>
              <w:t xml:space="preserve">lgstoša </w:t>
            </w:r>
            <w:r w:rsidR="00D93669">
              <w:rPr>
                <w:sz w:val="18"/>
                <w:szCs w:val="18"/>
              </w:rPr>
              <w:t>V</w:t>
            </w:r>
            <w:r w:rsidR="00162FCF" w:rsidRPr="00043AF2">
              <w:rPr>
                <w:sz w:val="18"/>
                <w:szCs w:val="18"/>
              </w:rPr>
              <w:t xml:space="preserve">ienotās </w:t>
            </w:r>
            <w:r w:rsidR="00D93669">
              <w:rPr>
                <w:sz w:val="18"/>
                <w:szCs w:val="18"/>
              </w:rPr>
              <w:t>n</w:t>
            </w:r>
            <w:r w:rsidR="00162FCF" w:rsidRPr="00043AF2">
              <w:rPr>
                <w:sz w:val="18"/>
                <w:szCs w:val="18"/>
              </w:rPr>
              <w:t xml:space="preserve">oregulējuma </w:t>
            </w:r>
            <w:r w:rsidR="00D93669">
              <w:rPr>
                <w:sz w:val="18"/>
                <w:szCs w:val="18"/>
              </w:rPr>
              <w:t>v</w:t>
            </w:r>
            <w:r w:rsidR="00162FCF" w:rsidRPr="00043AF2">
              <w:rPr>
                <w:sz w:val="18"/>
                <w:szCs w:val="18"/>
              </w:rPr>
              <w:t>aldes lēmuma nepildīšana</w:t>
            </w:r>
          </w:p>
        </w:tc>
        <w:tc>
          <w:tcPr>
            <w:tcW w:w="2409" w:type="dxa"/>
            <w:tcBorders>
              <w:top w:val="single" w:sz="4" w:space="0" w:color="auto"/>
              <w:left w:val="single" w:sz="4" w:space="0" w:color="auto"/>
              <w:bottom w:val="single" w:sz="4" w:space="0" w:color="auto"/>
              <w:right w:val="single" w:sz="4" w:space="0" w:color="auto"/>
            </w:tcBorders>
          </w:tcPr>
          <w:p w14:paraId="0B73E6C9" w14:textId="77777777" w:rsidR="007A2CA8" w:rsidRDefault="007A2CA8" w:rsidP="007A2CA8">
            <w:pPr>
              <w:ind w:hanging="19"/>
              <w:jc w:val="center"/>
              <w:rPr>
                <w:sz w:val="28"/>
                <w:szCs w:val="28"/>
              </w:rPr>
            </w:pPr>
          </w:p>
        </w:tc>
      </w:tr>
      <w:tr w:rsidR="007A2CA8" w:rsidRPr="005C4C60" w14:paraId="799BB8F9" w14:textId="77777777" w:rsidTr="00E44DC3">
        <w:trPr>
          <w:gridBefore w:val="1"/>
          <w:wBefore w:w="6" w:type="dxa"/>
          <w:trHeight w:val="382"/>
        </w:trPr>
        <w:tc>
          <w:tcPr>
            <w:tcW w:w="1711" w:type="dxa"/>
            <w:tcBorders>
              <w:top w:val="single" w:sz="4" w:space="0" w:color="auto"/>
              <w:left w:val="single" w:sz="4" w:space="0" w:color="auto"/>
              <w:right w:val="single" w:sz="4" w:space="0" w:color="auto"/>
            </w:tcBorders>
          </w:tcPr>
          <w:p w14:paraId="7A21E40E" w14:textId="68D49B00" w:rsidR="007A2CA8" w:rsidRPr="00EF2648" w:rsidRDefault="007A2CA8" w:rsidP="007A2CA8">
            <w:pPr>
              <w:ind w:firstLine="0"/>
              <w:jc w:val="left"/>
              <w:rPr>
                <w:sz w:val="18"/>
                <w:szCs w:val="18"/>
              </w:rPr>
            </w:pPr>
          </w:p>
        </w:tc>
        <w:tc>
          <w:tcPr>
            <w:tcW w:w="2409" w:type="dxa"/>
            <w:tcBorders>
              <w:top w:val="single" w:sz="4" w:space="0" w:color="auto"/>
              <w:left w:val="single" w:sz="4" w:space="0" w:color="auto"/>
              <w:right w:val="single" w:sz="4" w:space="0" w:color="auto"/>
            </w:tcBorders>
          </w:tcPr>
          <w:p w14:paraId="0136EA85" w14:textId="55248C8C" w:rsidR="007A2CA8" w:rsidRPr="001A3C62" w:rsidRDefault="007A2CA8" w:rsidP="007A2CA8">
            <w:pPr>
              <w:ind w:firstLine="0"/>
              <w:jc w:val="left"/>
              <w:rPr>
                <w:b/>
                <w:sz w:val="18"/>
                <w:szCs w:val="18"/>
              </w:rPr>
            </w:pPr>
            <w:r>
              <w:rPr>
                <w:b/>
                <w:sz w:val="18"/>
                <w:szCs w:val="18"/>
              </w:rPr>
              <w:t xml:space="preserve">20. </w:t>
            </w:r>
            <w:r w:rsidRPr="005E3D5F">
              <w:rPr>
                <w:b/>
                <w:sz w:val="18"/>
                <w:szCs w:val="18"/>
              </w:rPr>
              <w:t>Pārkāpumi, kas saistīti ar iepriekš neuzskaitīt</w:t>
            </w:r>
            <w:r w:rsidR="00D93669">
              <w:rPr>
                <w:b/>
                <w:sz w:val="18"/>
                <w:szCs w:val="18"/>
              </w:rPr>
              <w:t>u</w:t>
            </w:r>
            <w:r w:rsidRPr="005E3D5F">
              <w:rPr>
                <w:b/>
                <w:sz w:val="18"/>
                <w:szCs w:val="18"/>
              </w:rPr>
              <w:t xml:space="preserve"> (citu) normatīvo aktu prasību neievērošanu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2EFC3" w14:textId="77777777" w:rsidR="007A2CA8" w:rsidRPr="00C97966" w:rsidRDefault="007A2CA8" w:rsidP="007A2CA8">
            <w:pPr>
              <w:ind w:firstLine="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78A0E" w14:textId="591F2065" w:rsidR="007A2CA8" w:rsidRPr="00F8250C" w:rsidRDefault="007A2CA8" w:rsidP="007A2CA8">
            <w:pPr>
              <w:ind w:firstLine="0"/>
              <w:jc w:val="center"/>
              <w:rPr>
                <w:sz w:val="18"/>
                <w:szCs w:val="18"/>
              </w:rPr>
            </w:pPr>
            <w:r w:rsidRPr="000C38D5">
              <w:rPr>
                <w:sz w:val="28"/>
                <w:szCs w:val="28"/>
              </w:rPr>
              <w:t>X</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2A060A3" w14:textId="2C3248A6" w:rsidR="007A2CA8" w:rsidRPr="005C4C60" w:rsidRDefault="007A2CA8" w:rsidP="007A2CA8">
            <w:pPr>
              <w:ind w:firstLine="0"/>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A1D1C" w14:textId="77777777" w:rsidR="007A2CA8" w:rsidRPr="005C4C60" w:rsidRDefault="007A2CA8" w:rsidP="007A2CA8">
            <w:pPr>
              <w:ind w:firstLine="0"/>
              <w:jc w:val="left"/>
              <w:rPr>
                <w:sz w:val="20"/>
                <w:szCs w:val="20"/>
              </w:rPr>
            </w:pPr>
          </w:p>
        </w:tc>
      </w:tr>
    </w:tbl>
    <w:p w14:paraId="6652C7C0" w14:textId="77777777" w:rsidR="006D1E6E" w:rsidRDefault="006D1E6E"/>
    <w:sectPr w:rsidR="006D1E6E" w:rsidSect="00E44DC3">
      <w:headerReference w:type="default" r:id="rId11"/>
      <w:pgSz w:w="15840" w:h="12240" w:orient="landscape"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ABBC" w14:textId="77777777" w:rsidR="008914B5" w:rsidRDefault="008914B5" w:rsidP="006D1E6E">
      <w:r>
        <w:separator/>
      </w:r>
    </w:p>
  </w:endnote>
  <w:endnote w:type="continuationSeparator" w:id="0">
    <w:p w14:paraId="09D8F790" w14:textId="77777777" w:rsidR="008914B5" w:rsidRDefault="008914B5" w:rsidP="006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4B27" w14:textId="77777777" w:rsidR="008914B5" w:rsidRDefault="008914B5" w:rsidP="006D1E6E">
      <w:r>
        <w:separator/>
      </w:r>
    </w:p>
  </w:footnote>
  <w:footnote w:type="continuationSeparator" w:id="0">
    <w:p w14:paraId="46160BAC" w14:textId="77777777" w:rsidR="008914B5" w:rsidRDefault="008914B5" w:rsidP="006D1E6E">
      <w:r>
        <w:continuationSeparator/>
      </w:r>
    </w:p>
  </w:footnote>
  <w:footnote w:id="1">
    <w:p w14:paraId="2A6DA0E0" w14:textId="241EEDBF" w:rsidR="00555B4F" w:rsidRPr="00C77F1D" w:rsidRDefault="00555B4F" w:rsidP="008A7857">
      <w:pPr>
        <w:pStyle w:val="FootnoteText"/>
        <w:ind w:firstLine="0"/>
      </w:pPr>
      <w:r w:rsidRPr="00C77F1D">
        <w:rPr>
          <w:rStyle w:val="FootnoteReference"/>
        </w:rPr>
        <w:footnoteRef/>
      </w:r>
      <w:r w:rsidRPr="00C77F1D">
        <w:t xml:space="preserve"> Kredītiestāžu likums</w:t>
      </w:r>
      <w:r w:rsidR="007D4AFA" w:rsidRPr="00C77F1D">
        <w:t>.</w:t>
      </w:r>
    </w:p>
  </w:footnote>
  <w:footnote w:id="2">
    <w:p w14:paraId="2C8FA4FE" w14:textId="13C2F8F3" w:rsidR="00927C24" w:rsidRPr="00C77F1D" w:rsidRDefault="00927C24" w:rsidP="008A7857">
      <w:pPr>
        <w:pStyle w:val="FootnoteText"/>
        <w:ind w:firstLine="0"/>
      </w:pPr>
      <w:r w:rsidRPr="00C77F1D">
        <w:rPr>
          <w:rStyle w:val="FootnoteReference"/>
        </w:rPr>
        <w:footnoteRef/>
      </w:r>
      <w:r w:rsidRPr="00C77F1D">
        <w:t xml:space="preserve"> </w:t>
      </w:r>
      <w:r w:rsidRPr="008A7857">
        <w:t>Regula (ES) Nr. 575/2013 (2013. gada 26. jūnijs) par prudenciālajām prasībām attiecībā uz kredītiestādēm, un ar ko groza Regulu (ES) Nr. 648/2012.</w:t>
      </w:r>
    </w:p>
  </w:footnote>
  <w:footnote w:id="3">
    <w:p w14:paraId="2D3D222A" w14:textId="54D87079" w:rsidR="00C77F1D" w:rsidRPr="008A7857" w:rsidRDefault="00C77F1D" w:rsidP="008A7857">
      <w:pPr>
        <w:pStyle w:val="title-doc-first"/>
        <w:shd w:val="clear" w:color="auto" w:fill="FFFFFF"/>
        <w:spacing w:before="0" w:beforeAutospacing="0" w:after="0" w:afterAutospacing="0"/>
        <w:jc w:val="both"/>
        <w:rPr>
          <w:color w:val="000000"/>
          <w:sz w:val="20"/>
          <w:szCs w:val="20"/>
        </w:rPr>
      </w:pPr>
      <w:r w:rsidRPr="008A7857">
        <w:rPr>
          <w:rStyle w:val="FootnoteReference"/>
          <w:sz w:val="20"/>
          <w:szCs w:val="20"/>
        </w:rPr>
        <w:footnoteRef/>
      </w:r>
      <w:r w:rsidRPr="008A7857">
        <w:rPr>
          <w:sz w:val="20"/>
          <w:szCs w:val="20"/>
        </w:rPr>
        <w:t xml:space="preserve"> </w:t>
      </w:r>
      <w:r w:rsidRPr="008A7857">
        <w:rPr>
          <w:color w:val="000000"/>
          <w:sz w:val="20"/>
          <w:szCs w:val="20"/>
        </w:rPr>
        <w:t>Regula (ES) 2019/876 (2019. gada 20. maijs), ar ko groza Regulu (ES) Nr. 575/2013 attiecībā uz sviras rādītāju, neto stabila finansējuma rādītāju, prasībām pašu kapitālam un atbilstīgajām saistībām, darījuma partnera kredītrisku, tirgus risku, riska darījumiem ar centrālajiem darījumu partneriem, riska darījumiem ar kolektīvo ieguldījumu uzņēmumiem, lieliem riska darījumiem, pārskatu sniegšanas un informācijas atklāšanas prasībām un Regulu (ES) Nr. 648/2012</w:t>
      </w:r>
      <w:r>
        <w:rPr>
          <w:color w:val="000000"/>
          <w:sz w:val="20"/>
          <w:szCs w:val="20"/>
        </w:rPr>
        <w:t>.</w:t>
      </w:r>
    </w:p>
    <w:p w14:paraId="1D5462ED" w14:textId="77777777" w:rsidR="00C77F1D" w:rsidRPr="00C77F1D" w:rsidRDefault="00C77F1D" w:rsidP="008A7857">
      <w:pPr>
        <w:rPr>
          <w:sz w:val="20"/>
          <w:szCs w:val="20"/>
        </w:rPr>
      </w:pPr>
    </w:p>
    <w:p w14:paraId="7001C477" w14:textId="4963E461" w:rsidR="00C77F1D" w:rsidRDefault="00C77F1D">
      <w:pPr>
        <w:pStyle w:val="FootnoteText"/>
      </w:pPr>
    </w:p>
  </w:footnote>
  <w:footnote w:id="4">
    <w:p w14:paraId="0B66AA93" w14:textId="3097075B" w:rsidR="008A7857" w:rsidRDefault="008A7857" w:rsidP="008A7857">
      <w:pPr>
        <w:pStyle w:val="FootnoteText"/>
        <w:ind w:firstLine="0"/>
        <w:rPr>
          <w:noProof/>
        </w:rPr>
      </w:pPr>
      <w:r>
        <w:rPr>
          <w:rStyle w:val="FootnoteReference"/>
          <w:noProof/>
        </w:rPr>
        <w:footnoteRef/>
      </w:r>
      <w:r>
        <w:rPr>
          <w:noProof/>
        </w:rPr>
        <w:t xml:space="preserve"> </w:t>
      </w:r>
      <w:bookmarkStart w:id="0" w:name="_Hlk106600180"/>
      <w:r w:rsidRPr="008A7857">
        <w:rPr>
          <w:noProof/>
        </w:rPr>
        <w:t>2. pīlāra prasības (</w:t>
      </w:r>
      <w:r w:rsidRPr="008A7857">
        <w:rPr>
          <w:i/>
          <w:iCs/>
          <w:noProof/>
        </w:rPr>
        <w:t>Pillar 2 Requirement</w:t>
      </w:r>
      <w:r w:rsidRPr="008A7857">
        <w:rPr>
          <w:noProof/>
        </w:rPr>
        <w:t>; P2R)</w:t>
      </w:r>
      <w:r w:rsidR="00BE050C">
        <w:rPr>
          <w:noProof/>
        </w:rPr>
        <w:t>.</w:t>
      </w:r>
      <w:bookmarkEnd w:id="0"/>
    </w:p>
  </w:footnote>
  <w:footnote w:id="5">
    <w:p w14:paraId="75C997E3" w14:textId="2D020607" w:rsidR="00BE050C" w:rsidRDefault="00BE050C" w:rsidP="00BE050C">
      <w:pPr>
        <w:pStyle w:val="FootnoteText"/>
        <w:ind w:firstLine="0"/>
        <w:rPr>
          <w:noProof/>
        </w:rPr>
      </w:pPr>
      <w:r>
        <w:rPr>
          <w:rStyle w:val="FootnoteReference"/>
          <w:noProof/>
        </w:rPr>
        <w:footnoteRef/>
      </w:r>
      <w:r>
        <w:rPr>
          <w:noProof/>
        </w:rPr>
        <w:t xml:space="preserve"> </w:t>
      </w:r>
      <w:bookmarkStart w:id="1" w:name="_Hlk106600202"/>
      <w:r>
        <w:rPr>
          <w:noProof/>
        </w:rPr>
        <w:t>1</w:t>
      </w:r>
      <w:r w:rsidRPr="00BE050C">
        <w:rPr>
          <w:noProof/>
        </w:rPr>
        <w:t>. pīlāra prasības (</w:t>
      </w:r>
      <w:r w:rsidRPr="00BE050C">
        <w:rPr>
          <w:i/>
          <w:iCs/>
          <w:noProof/>
        </w:rPr>
        <w:t>Pillar 1 Requirement</w:t>
      </w:r>
      <w:r w:rsidRPr="00BE050C">
        <w:rPr>
          <w:noProof/>
        </w:rPr>
        <w:t>; P</w:t>
      </w:r>
      <w:r>
        <w:rPr>
          <w:noProof/>
        </w:rPr>
        <w:t>1</w:t>
      </w:r>
      <w:r w:rsidRPr="00BE050C">
        <w:rPr>
          <w:noProof/>
        </w:rPr>
        <w:t>R)</w:t>
      </w:r>
      <w:r>
        <w:rPr>
          <w:noProof/>
        </w:rPr>
        <w:t>.</w:t>
      </w:r>
      <w:bookmarkEnd w:id="1"/>
    </w:p>
  </w:footnote>
  <w:footnote w:id="6">
    <w:p w14:paraId="15AFF179" w14:textId="69EF1AFE" w:rsidR="007A2CA8" w:rsidRPr="008A7857" w:rsidRDefault="007A2CA8" w:rsidP="008A7857">
      <w:pPr>
        <w:autoSpaceDE w:val="0"/>
        <w:autoSpaceDN w:val="0"/>
        <w:adjustRightInd w:val="0"/>
        <w:ind w:firstLine="0"/>
        <w:rPr>
          <w:rFonts w:eastAsia="@Arial Unicode MS"/>
          <w:b/>
          <w:bCs/>
          <w:noProof/>
          <w:sz w:val="20"/>
          <w:szCs w:val="20"/>
        </w:rPr>
      </w:pPr>
      <w:r w:rsidRPr="00933EE6">
        <w:rPr>
          <w:rStyle w:val="FootnoteReference"/>
          <w:noProof/>
          <w:sz w:val="20"/>
          <w:szCs w:val="20"/>
        </w:rPr>
        <w:footnoteRef/>
      </w:r>
      <w:r w:rsidRPr="008A7857">
        <w:rPr>
          <w:noProof/>
          <w:sz w:val="20"/>
          <w:szCs w:val="20"/>
        </w:rPr>
        <w:t xml:space="preserve"> </w:t>
      </w:r>
      <w:r w:rsidRPr="008A7857">
        <w:rPr>
          <w:rFonts w:eastAsia="@Arial Unicode MS"/>
          <w:b/>
          <w:bCs/>
          <w:noProof/>
          <w:sz w:val="20"/>
          <w:szCs w:val="20"/>
        </w:rPr>
        <w:t>F3: Augsta ietekme</w:t>
      </w:r>
    </w:p>
    <w:p w14:paraId="19CF70F9" w14:textId="77777777" w:rsidR="007A2CA8" w:rsidRPr="008A7857" w:rsidRDefault="007A2CA8" w:rsidP="008A7857">
      <w:pPr>
        <w:autoSpaceDE w:val="0"/>
        <w:autoSpaceDN w:val="0"/>
        <w:adjustRightInd w:val="0"/>
        <w:ind w:firstLine="0"/>
        <w:rPr>
          <w:rFonts w:eastAsia="@Arial Unicode MS"/>
          <w:sz w:val="20"/>
          <w:szCs w:val="20"/>
        </w:rPr>
      </w:pPr>
      <w:r w:rsidRPr="008A7857">
        <w:rPr>
          <w:rFonts w:eastAsia="@Arial Unicode MS"/>
          <w:sz w:val="20"/>
          <w:szCs w:val="20"/>
        </w:rPr>
        <w:t xml:space="preserve">Trūkums ir saistīts ar ārējo normatīvo aktu un iekšējo normatīvo dokumentu prasību pārkāpumu vai novirzi no labās prakses ar augstu, faktisku vai potenciālu ietekmi uz tirgus dalībnieka finanšu stāvokli, pašu kapitāla līmeni, pašu kapitāla prasībām vai iekšējo pārvaldību, tirgus dalībnieka riska kontroli un tirgus dalībnieka vadību. </w:t>
      </w:r>
    </w:p>
    <w:p w14:paraId="462DB4E8" w14:textId="7F99B8A3" w:rsidR="007A2CA8" w:rsidRPr="008A7857" w:rsidRDefault="007A2CA8" w:rsidP="008A7857">
      <w:pPr>
        <w:autoSpaceDE w:val="0"/>
        <w:autoSpaceDN w:val="0"/>
        <w:adjustRightInd w:val="0"/>
        <w:ind w:firstLine="0"/>
        <w:rPr>
          <w:rFonts w:eastAsia="@Arial Unicode MS"/>
          <w:b/>
          <w:bCs/>
          <w:sz w:val="20"/>
          <w:szCs w:val="20"/>
        </w:rPr>
      </w:pPr>
      <w:r w:rsidRPr="008A7857">
        <w:rPr>
          <w:rFonts w:eastAsia="@Arial Unicode MS"/>
          <w:b/>
          <w:bCs/>
          <w:sz w:val="20"/>
          <w:szCs w:val="20"/>
        </w:rPr>
        <w:t>F4: Ļoti augsta ietekme</w:t>
      </w:r>
    </w:p>
    <w:p w14:paraId="628207D0" w14:textId="67935590" w:rsidR="007A2CA8" w:rsidRPr="00933EE6" w:rsidRDefault="007A2CA8" w:rsidP="008A7857">
      <w:pPr>
        <w:pStyle w:val="FootnoteText"/>
        <w:ind w:firstLine="0"/>
      </w:pPr>
      <w:r w:rsidRPr="008A7857">
        <w:rPr>
          <w:rFonts w:eastAsia="@Arial Unicode MS"/>
        </w:rPr>
        <w:t>Trūkums ir saistīts ar ārējo normatīvo aktu un iekšējo normatīvo dokumentu prasību pārkāpumu vai novirzi no labās prakses ar ļoti augstu, faktisku vai potenciālu ietekmi uz tirgus dalībnieka finanšu stāvokli, pašu kapitāla līmeni, pašu kapitāla prasībām vai iekšējo pārvaldību, tirgus dalībnieka risk</w:t>
      </w:r>
      <w:r w:rsidR="002D1767" w:rsidRPr="008A7857">
        <w:rPr>
          <w:rFonts w:eastAsia="@Arial Unicode MS"/>
        </w:rPr>
        <w:t>u</w:t>
      </w:r>
      <w:r w:rsidRPr="008A7857">
        <w:rPr>
          <w:rFonts w:eastAsia="@Arial Unicode MS"/>
        </w:rPr>
        <w:t xml:space="preserve"> kontroli un tirgus dalībnieka vadību. Ir sagaidāms, ka tirgus dalībnieks veiks pasākumus trūkumu novēršanai nekavējoties</w:t>
      </w:r>
      <w:r w:rsidR="002D1767" w:rsidRPr="008A7857">
        <w:rPr>
          <w:rFonts w:eastAsia="@Arial Unicode MS"/>
        </w:rPr>
        <w:t>,</w:t>
      </w:r>
      <w:r w:rsidRPr="008A7857">
        <w:rPr>
          <w:rFonts w:eastAsia="@Arial Unicode MS"/>
        </w:rPr>
        <w:t xml:space="preserve"> un tirgus dalībnieka vadība ir aktīvi iesaistīta šajos pasākumos.</w:t>
      </w:r>
    </w:p>
  </w:footnote>
  <w:footnote w:id="7">
    <w:p w14:paraId="5AA4BBE2" w14:textId="242A5A57" w:rsidR="00555B4F" w:rsidRPr="008A7857" w:rsidRDefault="00555B4F" w:rsidP="008A7857">
      <w:pPr>
        <w:pStyle w:val="title-doc-first"/>
        <w:shd w:val="clear" w:color="auto" w:fill="FFFFFF"/>
        <w:spacing w:before="0" w:beforeAutospacing="0" w:after="0" w:afterAutospacing="0"/>
        <w:jc w:val="both"/>
        <w:rPr>
          <w:rFonts w:eastAsia="Arial Unicode MS"/>
        </w:rPr>
      </w:pPr>
      <w:r w:rsidRPr="00933EE6">
        <w:rPr>
          <w:rStyle w:val="FootnoteReference"/>
          <w:sz w:val="20"/>
          <w:szCs w:val="20"/>
        </w:rPr>
        <w:footnoteRef/>
      </w:r>
      <w:r w:rsidRPr="00933EE6">
        <w:rPr>
          <w:sz w:val="20"/>
          <w:szCs w:val="20"/>
        </w:rPr>
        <w:t xml:space="preserve"> </w:t>
      </w:r>
      <w:r w:rsidR="00933EE6" w:rsidRPr="008A7857">
        <w:rPr>
          <w:rFonts w:eastAsia="Arial Unicode MS"/>
          <w:sz w:val="20"/>
          <w:szCs w:val="20"/>
        </w:rPr>
        <w:t>Regula (ES) Nr. 1286/2014 (2014. gada 26. novembris) par komplektētu privāto ieguldījumu un apdrošināšanas ieguldījumu produktu (</w:t>
      </w:r>
      <w:r w:rsidR="00933EE6" w:rsidRPr="008A7857">
        <w:rPr>
          <w:rStyle w:val="italics"/>
          <w:rFonts w:eastAsia="Arial Unicode MS"/>
          <w:i/>
          <w:iCs/>
          <w:sz w:val="20"/>
          <w:szCs w:val="20"/>
        </w:rPr>
        <w:t>PRIIP</w:t>
      </w:r>
      <w:r w:rsidR="00933EE6" w:rsidRPr="008A7857">
        <w:rPr>
          <w:rFonts w:eastAsia="Arial Unicode MS"/>
          <w:sz w:val="20"/>
          <w:szCs w:val="20"/>
        </w:rPr>
        <w:t>) pamatinformācijas dokumentiem</w:t>
      </w:r>
      <w:r w:rsidR="002D1767" w:rsidRPr="008A7857">
        <w:rPr>
          <w:sz w:val="20"/>
          <w:szCs w:val="20"/>
        </w:rPr>
        <w:t>.</w:t>
      </w:r>
    </w:p>
  </w:footnote>
  <w:footnote w:id="8">
    <w:p w14:paraId="6F5A74EB" w14:textId="0342D080" w:rsidR="00A07608" w:rsidRPr="00A07608" w:rsidRDefault="00A07608" w:rsidP="008A7857">
      <w:pPr>
        <w:ind w:firstLine="0"/>
        <w:jc w:val="left"/>
        <w:rPr>
          <w:sz w:val="20"/>
          <w:szCs w:val="20"/>
        </w:rPr>
      </w:pPr>
      <w:r w:rsidRPr="00A07608">
        <w:rPr>
          <w:rStyle w:val="FootnoteReference"/>
        </w:rPr>
        <w:footnoteRef/>
      </w:r>
      <w:r w:rsidRPr="00A07608">
        <w:t xml:space="preserve"> </w:t>
      </w:r>
      <w:r w:rsidRPr="008A7857">
        <w:rPr>
          <w:sz w:val="20"/>
          <w:szCs w:val="20"/>
          <w:shd w:val="clear" w:color="auto" w:fill="FFFFFF"/>
        </w:rPr>
        <w:t>Regula (ES) Nr. 806/2014 (2014. gada 15. jūlijs), ar ko izveido vienādus noteikumus un vienotu procedūru kredītiestāžu un noteiktu ieguldījumu brokeru sabiedrību noregulējumam, izmantojot vienotu noregulējuma mehānismu un vienotu noregulējuma fondu, un groza Regulu (ES) Nr. 1093/2010.</w:t>
      </w:r>
    </w:p>
    <w:p w14:paraId="318AAD4D" w14:textId="7C4444CB" w:rsidR="00A07608" w:rsidRDefault="00A076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61429"/>
      <w:docPartObj>
        <w:docPartGallery w:val="Page Numbers (Top of Page)"/>
        <w:docPartUnique/>
      </w:docPartObj>
    </w:sdtPr>
    <w:sdtEndPr>
      <w:rPr>
        <w:noProof/>
      </w:rPr>
    </w:sdtEndPr>
    <w:sdtContent>
      <w:p w14:paraId="0EB8E84C" w14:textId="32A1EA4B" w:rsidR="00E44DC3" w:rsidRDefault="00E44DC3" w:rsidP="008A78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67DF27" w14:textId="77777777" w:rsidR="00E44DC3" w:rsidRDefault="00E44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6E"/>
    <w:rsid w:val="00094C44"/>
    <w:rsid w:val="00097046"/>
    <w:rsid w:val="000C38D5"/>
    <w:rsid w:val="001235A8"/>
    <w:rsid w:val="00162FCF"/>
    <w:rsid w:val="00200BCB"/>
    <w:rsid w:val="002D1767"/>
    <w:rsid w:val="002E2D49"/>
    <w:rsid w:val="00354378"/>
    <w:rsid w:val="003B09BC"/>
    <w:rsid w:val="00414EA1"/>
    <w:rsid w:val="00437AC1"/>
    <w:rsid w:val="004B2B0D"/>
    <w:rsid w:val="004D00A3"/>
    <w:rsid w:val="004E7072"/>
    <w:rsid w:val="00534E76"/>
    <w:rsid w:val="005527FE"/>
    <w:rsid w:val="00555B4F"/>
    <w:rsid w:val="005B7BC4"/>
    <w:rsid w:val="00625945"/>
    <w:rsid w:val="006D1E6E"/>
    <w:rsid w:val="006E567F"/>
    <w:rsid w:val="007A2CA8"/>
    <w:rsid w:val="007D4AFA"/>
    <w:rsid w:val="008914B5"/>
    <w:rsid w:val="008A7857"/>
    <w:rsid w:val="008D2D7C"/>
    <w:rsid w:val="00914CB7"/>
    <w:rsid w:val="00915A67"/>
    <w:rsid w:val="00927C24"/>
    <w:rsid w:val="00933EE6"/>
    <w:rsid w:val="009649F7"/>
    <w:rsid w:val="009E01C1"/>
    <w:rsid w:val="00A07608"/>
    <w:rsid w:val="00AA674F"/>
    <w:rsid w:val="00AC05D2"/>
    <w:rsid w:val="00AD18A0"/>
    <w:rsid w:val="00B72937"/>
    <w:rsid w:val="00BE050C"/>
    <w:rsid w:val="00C0059D"/>
    <w:rsid w:val="00C77F1D"/>
    <w:rsid w:val="00D93669"/>
    <w:rsid w:val="00DB5880"/>
    <w:rsid w:val="00DD4199"/>
    <w:rsid w:val="00E02973"/>
    <w:rsid w:val="00E44DC3"/>
    <w:rsid w:val="00F50B8A"/>
    <w:rsid w:val="00F55AF0"/>
    <w:rsid w:val="00FE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8045"/>
  <w15:chartTrackingRefBased/>
  <w15:docId w15:val="{55C23E37-FC47-40A8-BC18-DA08A0DD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6E"/>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rsid w:val="006D1E6E"/>
    <w:rPr>
      <w:rFonts w:eastAsia="Calibri"/>
      <w:sz w:val="20"/>
      <w:szCs w:val="20"/>
    </w:rPr>
  </w:style>
  <w:style w:type="character" w:customStyle="1" w:styleId="CommentTextChar">
    <w:name w:val="Comment Text Char"/>
    <w:basedOn w:val="DefaultParagraphFont"/>
    <w:uiPriority w:val="99"/>
    <w:semiHidden/>
    <w:rsid w:val="006D1E6E"/>
    <w:rPr>
      <w:rFonts w:ascii="Times New Roman" w:eastAsia="Times New Roman" w:hAnsi="Times New Roman" w:cs="Times New Roman"/>
      <w:sz w:val="20"/>
      <w:szCs w:val="20"/>
      <w:lang w:val="lv-LV" w:eastAsia="lv-LV"/>
    </w:rPr>
  </w:style>
  <w:style w:type="character" w:customStyle="1" w:styleId="CommentTextChar1">
    <w:name w:val="Comment Text Char1"/>
    <w:basedOn w:val="DefaultParagraphFont"/>
    <w:link w:val="CommentText"/>
    <w:uiPriority w:val="99"/>
    <w:semiHidden/>
    <w:rsid w:val="006D1E6E"/>
    <w:rPr>
      <w:rFonts w:ascii="Times New Roman" w:eastAsia="Calibri" w:hAnsi="Times New Roman" w:cs="Times New Roman"/>
      <w:sz w:val="20"/>
      <w:szCs w:val="20"/>
      <w:lang w:val="lv-LV" w:eastAsia="lv-LV"/>
    </w:rPr>
  </w:style>
  <w:style w:type="character" w:styleId="CommentReference">
    <w:name w:val="annotation reference"/>
    <w:uiPriority w:val="99"/>
    <w:semiHidden/>
    <w:rsid w:val="006D1E6E"/>
    <w:rPr>
      <w:rFonts w:cs="Times New Roman"/>
      <w:sz w:val="16"/>
    </w:rPr>
  </w:style>
  <w:style w:type="paragraph" w:styleId="FootnoteText">
    <w:name w:val="footnote text"/>
    <w:basedOn w:val="Normal"/>
    <w:link w:val="FootnoteTextChar"/>
    <w:uiPriority w:val="99"/>
    <w:unhideWhenUsed/>
    <w:rsid w:val="006D1E6E"/>
    <w:rPr>
      <w:sz w:val="20"/>
      <w:szCs w:val="20"/>
    </w:rPr>
  </w:style>
  <w:style w:type="character" w:customStyle="1" w:styleId="FootnoteTextChar">
    <w:name w:val="Footnote Text Char"/>
    <w:basedOn w:val="DefaultParagraphFont"/>
    <w:link w:val="FootnoteText"/>
    <w:uiPriority w:val="99"/>
    <w:rsid w:val="006D1E6E"/>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6D1E6E"/>
    <w:rPr>
      <w:vertAlign w:val="superscript"/>
    </w:rPr>
  </w:style>
  <w:style w:type="character" w:customStyle="1" w:styleId="normaltextrun">
    <w:name w:val="normaltextrun"/>
    <w:basedOn w:val="DefaultParagraphFont"/>
    <w:rsid w:val="006D1E6E"/>
  </w:style>
  <w:style w:type="paragraph" w:styleId="ListParagraph">
    <w:name w:val="List Paragraph"/>
    <w:basedOn w:val="Normal"/>
    <w:uiPriority w:val="34"/>
    <w:qFormat/>
    <w:rsid w:val="00DD4199"/>
    <w:pPr>
      <w:ind w:left="720"/>
      <w:contextualSpacing/>
    </w:pPr>
  </w:style>
  <w:style w:type="paragraph" w:styleId="CommentSubject">
    <w:name w:val="annotation subject"/>
    <w:basedOn w:val="CommentText"/>
    <w:next w:val="CommentText"/>
    <w:link w:val="CommentSubjectChar"/>
    <w:uiPriority w:val="99"/>
    <w:semiHidden/>
    <w:unhideWhenUsed/>
    <w:rsid w:val="00DD4199"/>
    <w:rPr>
      <w:rFonts w:eastAsia="Times New Roman"/>
      <w:b/>
      <w:bCs/>
    </w:rPr>
  </w:style>
  <w:style w:type="character" w:customStyle="1" w:styleId="CommentSubjectChar">
    <w:name w:val="Comment Subject Char"/>
    <w:basedOn w:val="CommentTextChar1"/>
    <w:link w:val="CommentSubject"/>
    <w:uiPriority w:val="99"/>
    <w:semiHidden/>
    <w:rsid w:val="00DD4199"/>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E44DC3"/>
    <w:pPr>
      <w:tabs>
        <w:tab w:val="center" w:pos="4153"/>
        <w:tab w:val="right" w:pos="8306"/>
      </w:tabs>
    </w:pPr>
  </w:style>
  <w:style w:type="character" w:customStyle="1" w:styleId="HeaderChar">
    <w:name w:val="Header Char"/>
    <w:basedOn w:val="DefaultParagraphFont"/>
    <w:link w:val="Header"/>
    <w:uiPriority w:val="99"/>
    <w:rsid w:val="00E44DC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E44DC3"/>
    <w:pPr>
      <w:tabs>
        <w:tab w:val="center" w:pos="4153"/>
        <w:tab w:val="right" w:pos="8306"/>
      </w:tabs>
    </w:pPr>
  </w:style>
  <w:style w:type="character" w:customStyle="1" w:styleId="FooterChar">
    <w:name w:val="Footer Char"/>
    <w:basedOn w:val="DefaultParagraphFont"/>
    <w:link w:val="Footer"/>
    <w:uiPriority w:val="99"/>
    <w:rsid w:val="00E44DC3"/>
    <w:rPr>
      <w:rFonts w:ascii="Times New Roman" w:eastAsia="Times New Roman" w:hAnsi="Times New Roman" w:cs="Times New Roman"/>
      <w:sz w:val="24"/>
      <w:szCs w:val="24"/>
      <w:lang w:val="lv-LV" w:eastAsia="lv-LV"/>
    </w:rPr>
  </w:style>
  <w:style w:type="paragraph" w:styleId="Revision">
    <w:name w:val="Revision"/>
    <w:hidden/>
    <w:uiPriority w:val="99"/>
    <w:semiHidden/>
    <w:rsid w:val="007D4AFA"/>
    <w:pPr>
      <w:spacing w:after="0" w:line="240" w:lineRule="auto"/>
    </w:pPr>
    <w:rPr>
      <w:rFonts w:ascii="Times New Roman" w:eastAsia="Times New Roman" w:hAnsi="Times New Roman" w:cs="Times New Roman"/>
      <w:sz w:val="24"/>
      <w:szCs w:val="24"/>
      <w:lang w:val="lv-LV" w:eastAsia="lv-LV"/>
    </w:rPr>
  </w:style>
  <w:style w:type="paragraph" w:customStyle="1" w:styleId="title-doc-first">
    <w:name w:val="title-doc-first"/>
    <w:basedOn w:val="Normal"/>
    <w:rsid w:val="00C77F1D"/>
    <w:pPr>
      <w:spacing w:before="100" w:beforeAutospacing="1" w:after="100" w:afterAutospacing="1"/>
      <w:ind w:firstLine="0"/>
      <w:jc w:val="left"/>
    </w:pPr>
  </w:style>
  <w:style w:type="character" w:customStyle="1" w:styleId="italics">
    <w:name w:val="italics"/>
    <w:basedOn w:val="DefaultParagraphFont"/>
    <w:rsid w:val="0093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750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750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kumi.lv/doc.php?id=275045" TargetMode="External"/><Relationship Id="rId4" Type="http://schemas.openxmlformats.org/officeDocument/2006/relationships/webSettings" Target="webSettings.xml"/><Relationship Id="rId9" Type="http://schemas.openxmlformats.org/officeDocument/2006/relationships/hyperlink" Target="http://likumi.lv/doc.php?id=275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DFA1-3E42-4BE3-88C8-B4B26D2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2585</Words>
  <Characters>1474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Lenss</dc:creator>
  <cp:keywords/>
  <dc:description/>
  <cp:lastModifiedBy>Linda Egle</cp:lastModifiedBy>
  <cp:revision>3</cp:revision>
  <dcterms:created xsi:type="dcterms:W3CDTF">2022-07-05T04:16:00Z</dcterms:created>
  <dcterms:modified xsi:type="dcterms:W3CDTF">2022-07-05T08:29:00Z</dcterms:modified>
</cp:coreProperties>
</file>