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6850" w14:textId="6C2556A4" w:rsidR="00012BD5" w:rsidRPr="00012BD5" w:rsidRDefault="003E09BC" w:rsidP="00016A80">
      <w:pPr>
        <w:tabs>
          <w:tab w:val="left" w:pos="142"/>
          <w:tab w:val="left" w:pos="284"/>
          <w:tab w:val="left" w:pos="426"/>
        </w:tabs>
        <w:jc w:val="right"/>
        <w:rPr>
          <w:lang w:val="lv-LV"/>
        </w:rPr>
      </w:pPr>
      <w:r>
        <w:rPr>
          <w:lang w:val="lv-LV"/>
        </w:rPr>
        <w:t>1. p</w:t>
      </w:r>
      <w:r w:rsidR="00012BD5" w:rsidRPr="00012BD5">
        <w:rPr>
          <w:lang w:val="lv-LV"/>
        </w:rPr>
        <w:t>ielikums</w:t>
      </w:r>
    </w:p>
    <w:p w14:paraId="1384880D" w14:textId="15AACE25" w:rsidR="00012BD5" w:rsidRPr="00012BD5" w:rsidRDefault="00012BD5" w:rsidP="00016A80">
      <w:pPr>
        <w:pStyle w:val="Header"/>
        <w:tabs>
          <w:tab w:val="left" w:pos="142"/>
          <w:tab w:val="left" w:pos="284"/>
          <w:tab w:val="left" w:pos="426"/>
        </w:tabs>
        <w:jc w:val="right"/>
        <w:rPr>
          <w:lang w:val="lv-LV"/>
        </w:rPr>
      </w:pPr>
      <w:r w:rsidRPr="00012BD5">
        <w:rPr>
          <w:lang w:val="lv-LV"/>
        </w:rPr>
        <w:t xml:space="preserve">Finanšu un kapitāla tirgus komisijas </w:t>
      </w:r>
      <w:r w:rsidR="00602EE5">
        <w:rPr>
          <w:lang w:val="lv-LV"/>
        </w:rPr>
        <w:t xml:space="preserve">05.07.2022. </w:t>
      </w:r>
    </w:p>
    <w:p w14:paraId="5E641D08" w14:textId="099B4B8B" w:rsidR="00012BD5" w:rsidRPr="00012BD5" w:rsidRDefault="003E09BC" w:rsidP="00016A80">
      <w:pPr>
        <w:tabs>
          <w:tab w:val="left" w:pos="142"/>
          <w:tab w:val="left" w:pos="284"/>
          <w:tab w:val="left" w:pos="426"/>
        </w:tabs>
        <w:jc w:val="right"/>
        <w:rPr>
          <w:lang w:val="lv-LV"/>
        </w:rPr>
      </w:pPr>
      <w:r>
        <w:rPr>
          <w:lang w:val="lv-LV"/>
        </w:rPr>
        <w:t>i</w:t>
      </w:r>
      <w:r w:rsidR="00012BD5" w:rsidRPr="00012BD5">
        <w:rPr>
          <w:lang w:val="lv-LV"/>
        </w:rPr>
        <w:t xml:space="preserve">eteikumiem Nr. </w:t>
      </w:r>
      <w:r w:rsidR="00602EE5">
        <w:rPr>
          <w:lang w:val="lv-LV"/>
        </w:rPr>
        <w:t xml:space="preserve">120 </w:t>
      </w:r>
    </w:p>
    <w:p w14:paraId="3308C646" w14:textId="77777777" w:rsidR="008A545B" w:rsidRPr="00012BD5" w:rsidRDefault="008A545B" w:rsidP="00016A80">
      <w:pPr>
        <w:tabs>
          <w:tab w:val="left" w:pos="142"/>
          <w:tab w:val="left" w:pos="284"/>
          <w:tab w:val="left" w:pos="426"/>
        </w:tabs>
        <w:jc w:val="right"/>
        <w:rPr>
          <w:b/>
          <w:lang w:val="lv-LV"/>
        </w:rPr>
      </w:pPr>
    </w:p>
    <w:p w14:paraId="72AB3FCC" w14:textId="3057E45F" w:rsidR="008A545B" w:rsidRPr="00012BD5" w:rsidRDefault="008A545B" w:rsidP="00016A80">
      <w:pPr>
        <w:tabs>
          <w:tab w:val="left" w:pos="142"/>
          <w:tab w:val="left" w:pos="284"/>
          <w:tab w:val="left" w:pos="426"/>
        </w:tabs>
        <w:jc w:val="center"/>
        <w:rPr>
          <w:b/>
          <w:sz w:val="28"/>
          <w:szCs w:val="28"/>
          <w:lang w:val="lv-LV"/>
        </w:rPr>
      </w:pPr>
      <w:r w:rsidRPr="00012BD5">
        <w:rPr>
          <w:b/>
          <w:sz w:val="28"/>
          <w:szCs w:val="28"/>
          <w:lang w:val="lv-LV"/>
        </w:rPr>
        <w:t>Kopējais gada apgrozījums</w:t>
      </w:r>
      <w:r w:rsidR="000F7D99">
        <w:rPr>
          <w:b/>
          <w:sz w:val="28"/>
          <w:szCs w:val="28"/>
          <w:lang w:val="lv-LV"/>
        </w:rPr>
        <w:t xml:space="preserve"> un neto ienākumi</w:t>
      </w:r>
    </w:p>
    <w:p w14:paraId="2EBB632E" w14:textId="77777777" w:rsidR="008A545B" w:rsidRPr="00012BD5" w:rsidRDefault="008A545B" w:rsidP="00016A80">
      <w:pPr>
        <w:tabs>
          <w:tab w:val="left" w:pos="142"/>
          <w:tab w:val="left" w:pos="284"/>
          <w:tab w:val="left" w:pos="426"/>
        </w:tabs>
        <w:jc w:val="center"/>
        <w:rPr>
          <w:b/>
          <w:lang w:val="lv-LV"/>
        </w:rPr>
      </w:pPr>
    </w:p>
    <w:p w14:paraId="2ADB93B3" w14:textId="3D3AA8AA" w:rsidR="000F7D99" w:rsidRPr="000F7D99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b/>
          <w:bCs/>
          <w:u w:val="single"/>
          <w:lang w:val="lv-LV"/>
        </w:rPr>
      </w:pPr>
      <w:r>
        <w:rPr>
          <w:b/>
          <w:bCs/>
          <w:color w:val="000000"/>
          <w:u w:val="single"/>
          <w:lang w:val="lv-LV"/>
        </w:rPr>
        <w:t>1. </w:t>
      </w:r>
      <w:r w:rsidR="000F7D99" w:rsidRPr="000F7D99">
        <w:rPr>
          <w:b/>
          <w:bCs/>
          <w:color w:val="000000"/>
          <w:u w:val="single"/>
          <w:lang w:val="lv-LV"/>
        </w:rPr>
        <w:t>Kopējais gada apgrozījums</w:t>
      </w:r>
    </w:p>
    <w:p w14:paraId="6CBCF694" w14:textId="77777777" w:rsidR="003E09BC" w:rsidRDefault="003E09BC" w:rsidP="003E09B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color w:val="000000"/>
          <w:lang w:val="lv-LV"/>
        </w:rPr>
      </w:pPr>
    </w:p>
    <w:p w14:paraId="65D8AF1B" w14:textId="09A847C3" w:rsidR="008A545B" w:rsidRPr="000F7D99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F7D99">
        <w:rPr>
          <w:color w:val="000000"/>
          <w:lang w:val="lv-LV"/>
        </w:rPr>
        <w:t>Ievērojot Padomes</w:t>
      </w:r>
      <w:r w:rsidR="00113AFC">
        <w:rPr>
          <w:color w:val="000000"/>
          <w:lang w:val="lv-LV"/>
        </w:rPr>
        <w:t xml:space="preserve"> 2004. gada 20. </w:t>
      </w:r>
      <w:r w:rsidR="00113AFC" w:rsidRPr="000E4A2D">
        <w:rPr>
          <w:lang w:val="lv-LV"/>
        </w:rPr>
        <w:t>janvāra</w:t>
      </w:r>
      <w:r w:rsidRPr="000F7D99">
        <w:rPr>
          <w:color w:val="000000"/>
          <w:lang w:val="lv-LV"/>
        </w:rPr>
        <w:t xml:space="preserve"> Regul</w:t>
      </w:r>
      <w:r w:rsidR="00AB0373">
        <w:rPr>
          <w:color w:val="000000"/>
          <w:lang w:val="lv-LV"/>
        </w:rPr>
        <w:t>u</w:t>
      </w:r>
      <w:r w:rsidRPr="000F7D99">
        <w:rPr>
          <w:color w:val="000000"/>
          <w:lang w:val="lv-LV"/>
        </w:rPr>
        <w:t xml:space="preserve"> (EK) Nr. 139/2004 par kontroli pār uzņēmumu koncentrāciju (EK Apvienošanās regula) un Eiropas Komisijas paziņojumu par </w:t>
      </w:r>
      <w:r w:rsidRPr="003E09BC">
        <w:rPr>
          <w:color w:val="000000"/>
          <w:lang w:val="lv-LV"/>
        </w:rPr>
        <w:t>apgrozījuma</w:t>
      </w:r>
      <w:r w:rsidRPr="000F7D99">
        <w:rPr>
          <w:color w:val="000000"/>
          <w:lang w:val="lv-LV"/>
        </w:rPr>
        <w:t xml:space="preserve"> aprēķināšanu saskaņā ar Padomes Regulu (EEK) Nr. 4064/89 par uzņēmumu koncentrācijas kontroli, </w:t>
      </w:r>
      <w:r w:rsidRPr="000F7D99">
        <w:rPr>
          <w:lang w:val="lv-LV"/>
        </w:rPr>
        <w:t>finanšu un kapitāla tirgus dalībnieka kopējo apgrozījumu veido:</w:t>
      </w:r>
    </w:p>
    <w:p w14:paraId="44C27F04" w14:textId="77777777" w:rsidR="008A545B" w:rsidRPr="00012BD5" w:rsidRDefault="008A545B" w:rsidP="00016A80">
      <w:pPr>
        <w:tabs>
          <w:tab w:val="left" w:pos="142"/>
          <w:tab w:val="left" w:pos="284"/>
          <w:tab w:val="left" w:pos="426"/>
        </w:tabs>
        <w:jc w:val="both"/>
        <w:rPr>
          <w:b/>
          <w:lang w:val="lv-LV"/>
        </w:rPr>
      </w:pPr>
    </w:p>
    <w:p w14:paraId="748F9EFB" w14:textId="09588866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1.1. </w:t>
      </w:r>
      <w:r w:rsidR="008A545B" w:rsidRPr="00012BD5">
        <w:rPr>
          <w:b/>
          <w:u w:val="single"/>
          <w:lang w:val="lv-LV"/>
        </w:rPr>
        <w:t>Kredītiestādei, ieguldījumu brokeru sabiedrībai un ieguldījumu pārvaldes sabiedrībai</w:t>
      </w:r>
    </w:p>
    <w:p w14:paraId="44D2FDEB" w14:textId="0CCDEBCB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>Saskaņā ar Komisijas</w:t>
      </w:r>
      <w:r w:rsidR="00113AFC">
        <w:rPr>
          <w:lang w:val="lv-LV"/>
        </w:rPr>
        <w:t xml:space="preserve"> </w:t>
      </w:r>
      <w:bookmarkStart w:id="0" w:name="_Hlk97544757"/>
      <w:r w:rsidR="00113AFC">
        <w:rPr>
          <w:lang w:val="lv-LV"/>
        </w:rPr>
        <w:t>2020. gada 4. augusta</w:t>
      </w:r>
      <w:r w:rsidRPr="00012BD5">
        <w:rPr>
          <w:lang w:val="lv-LV"/>
        </w:rPr>
        <w:t xml:space="preserve"> </w:t>
      </w:r>
      <w:bookmarkEnd w:id="0"/>
      <w:r w:rsidRPr="00012BD5">
        <w:rPr>
          <w:lang w:val="lv-LV"/>
        </w:rPr>
        <w:t>normatīvajiem noteikumiem Nr.</w:t>
      </w:r>
      <w:r w:rsidR="005A071A">
        <w:rPr>
          <w:lang w:val="lv-LV"/>
        </w:rPr>
        <w:t> </w:t>
      </w:r>
      <w:r w:rsidR="00370B70" w:rsidRPr="00012BD5">
        <w:rPr>
          <w:lang w:val="lv-LV"/>
        </w:rPr>
        <w:t xml:space="preserve">113 </w:t>
      </w:r>
      <w:r w:rsidRPr="00012BD5">
        <w:rPr>
          <w:lang w:val="lv-LV"/>
        </w:rPr>
        <w:t xml:space="preserve">"Kredītiestāžu, ieguldījumu brokeru sabiedrību un ieguldījumu pārvaldes sabiedrību gada pārskata un konsolidētā gada pārskata </w:t>
      </w:r>
      <w:r w:rsidR="00D87560">
        <w:rPr>
          <w:lang w:val="lv-LV"/>
        </w:rPr>
        <w:t xml:space="preserve">sagatavošanas </w:t>
      </w:r>
      <w:r w:rsidRPr="00012BD5">
        <w:rPr>
          <w:lang w:val="lv-LV"/>
        </w:rPr>
        <w:t xml:space="preserve">normatīvie noteikumi" </w:t>
      </w:r>
      <w:r w:rsidR="005A071A" w:rsidRPr="00012BD5">
        <w:rPr>
          <w:lang w:val="lv-LV"/>
        </w:rPr>
        <w:t xml:space="preserve">šādu </w:t>
      </w:r>
      <w:r w:rsidRPr="00012BD5">
        <w:rPr>
          <w:lang w:val="lv-LV"/>
        </w:rPr>
        <w:t>peļņas vai zaudējumu aprēķinā iekļauto posteņu summa:</w:t>
      </w:r>
    </w:p>
    <w:p w14:paraId="6D63E83A" w14:textId="77777777" w:rsidR="008A545B" w:rsidRPr="00012BD5" w:rsidRDefault="008A545B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procentu ienākumi;</w:t>
      </w:r>
    </w:p>
    <w:p w14:paraId="2CD0DA54" w14:textId="77777777" w:rsidR="008A545B" w:rsidRPr="00012BD5" w:rsidRDefault="008A545B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dividenžu ienākumi;</w:t>
      </w:r>
    </w:p>
    <w:p w14:paraId="635499A9" w14:textId="77777777" w:rsidR="008A545B" w:rsidRPr="00012BD5" w:rsidRDefault="008A545B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komisijas naudas ienākumi;</w:t>
      </w:r>
    </w:p>
    <w:p w14:paraId="114A027D" w14:textId="56F4642A" w:rsidR="00C06BAC" w:rsidRPr="00012BD5" w:rsidRDefault="00C06BAC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peļņa/zaudējumi, pārtraucot atzīt finanšu aktīvus un finanšu saistības, kas nav vērtētas patiesajā vērtībā ar atspoguļojumu peļņas vai zaudējumu aprēķinā (tikai pozitīvais rezultāts)</w:t>
      </w:r>
      <w:r w:rsidR="005A071A">
        <w:rPr>
          <w:lang w:val="lv-LV"/>
        </w:rPr>
        <w:t>;</w:t>
      </w:r>
    </w:p>
    <w:p w14:paraId="7D36E24D" w14:textId="173E5788" w:rsidR="00C06BAC" w:rsidRPr="00012BD5" w:rsidRDefault="00C06BAC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 no finanšu aktīviem un finanšu saistībām, kas novērtētas patiesajā vērtībā ar atspoguļojumu peļņas vai zaudējumu aprēķinā (tikai pozitīvais rezultāts)</w:t>
      </w:r>
      <w:r w:rsidR="00A45558" w:rsidRPr="00012BD5">
        <w:rPr>
          <w:lang w:val="lv-LV"/>
        </w:rPr>
        <w:t xml:space="preserve"> (</w:t>
      </w:r>
      <w:r w:rsidR="00671766" w:rsidRPr="00012BD5">
        <w:rPr>
          <w:lang w:val="lv-LV"/>
        </w:rPr>
        <w:t xml:space="preserve">rezultāts veidojas no </w:t>
      </w:r>
      <w:r w:rsidR="00A45558" w:rsidRPr="00012BD5">
        <w:rPr>
          <w:lang w:val="lv-LV"/>
        </w:rPr>
        <w:t>FINREP pozīcij</w:t>
      </w:r>
      <w:r w:rsidR="00671766" w:rsidRPr="00012BD5">
        <w:rPr>
          <w:lang w:val="lv-LV"/>
        </w:rPr>
        <w:t>ām</w:t>
      </w:r>
      <w:r w:rsidR="00A45558" w:rsidRPr="00012BD5">
        <w:rPr>
          <w:lang w:val="lv-LV"/>
        </w:rPr>
        <w:t xml:space="preserve"> 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>Neto peļņa/zaudējumi no tirdzniecības nolūkā turētiem finanšu aktīviem un saistībām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 xml:space="preserve">, 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>Neto peļņa/zaudējumi no netirdzniecības finanšu aktīviem, kas obligāti novērtējami patiesajā vērtībā ar atspoguļojumu peļņas vai zaudējumu aprēķinā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 xml:space="preserve">, 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>Neto peļņa/zaudējumi no finanšu aktīviem un saistībām, kas novērtēti patiesajā vērtībā ar atspoguļojumu peļņas vai zaudējumu aprēķinā</w:t>
      </w:r>
      <w:r w:rsidR="005A071A">
        <w:rPr>
          <w:lang w:val="lv-LV"/>
        </w:rPr>
        <w:t>"</w:t>
      </w:r>
      <w:r w:rsidR="00A45558" w:rsidRPr="00012BD5">
        <w:rPr>
          <w:lang w:val="lv-LV"/>
        </w:rPr>
        <w:t>)</w:t>
      </w:r>
      <w:r w:rsidR="00AB0373">
        <w:rPr>
          <w:lang w:val="lv-LV"/>
        </w:rPr>
        <w:t>;</w:t>
      </w:r>
    </w:p>
    <w:p w14:paraId="2074C62E" w14:textId="7DB946EA" w:rsidR="008A545B" w:rsidRPr="00012BD5" w:rsidRDefault="00C06BAC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 no</w:t>
      </w:r>
      <w:r w:rsidR="008A545B" w:rsidRPr="00012BD5">
        <w:rPr>
          <w:lang w:val="lv-LV"/>
        </w:rPr>
        <w:t xml:space="preserve"> riska ierobežošanas uzskait</w:t>
      </w:r>
      <w:r w:rsidRPr="00012BD5">
        <w:rPr>
          <w:lang w:val="lv-LV"/>
        </w:rPr>
        <w:t>es</w:t>
      </w:r>
      <w:r w:rsidR="008A545B" w:rsidRPr="00012BD5">
        <w:rPr>
          <w:lang w:val="lv-LV"/>
        </w:rPr>
        <w:t xml:space="preserve"> (tikai pozitīvais rezultāts);</w:t>
      </w:r>
    </w:p>
    <w:p w14:paraId="3AE3A116" w14:textId="47E2753F" w:rsidR="008A545B" w:rsidRPr="00012BD5" w:rsidRDefault="00C06BAC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 xml:space="preserve">neto </w:t>
      </w:r>
      <w:r w:rsidR="008A545B" w:rsidRPr="00012BD5">
        <w:rPr>
          <w:lang w:val="lv-LV"/>
        </w:rPr>
        <w:t xml:space="preserve">ārvalstu valūtu </w:t>
      </w:r>
      <w:r w:rsidRPr="00012BD5">
        <w:rPr>
          <w:lang w:val="lv-LV"/>
        </w:rPr>
        <w:t>kursa starpības</w:t>
      </w:r>
      <w:r w:rsidR="008A545B" w:rsidRPr="00012BD5">
        <w:rPr>
          <w:lang w:val="lv-LV"/>
        </w:rPr>
        <w:t xml:space="preserve"> peļņa/zaudējumi (tikai pozitīvais rezultāts);</w:t>
      </w:r>
    </w:p>
    <w:p w14:paraId="49A7A2AE" w14:textId="38651078" w:rsidR="008A545B" w:rsidRPr="00012BD5" w:rsidRDefault="00671766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 no nefinanšu aktīvu atzīšanas pārtraukšanas</w:t>
      </w:r>
      <w:r w:rsidR="008A545B" w:rsidRPr="00012BD5">
        <w:rPr>
          <w:lang w:val="lv-LV"/>
        </w:rPr>
        <w:t xml:space="preserve"> (tikai pozitīvais rezultāts); </w:t>
      </w:r>
    </w:p>
    <w:p w14:paraId="670EF788" w14:textId="584C4867" w:rsidR="000F7D99" w:rsidRPr="000F7D99" w:rsidRDefault="008A545B" w:rsidP="00016A80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pārējie darbības ienākumi.</w:t>
      </w:r>
    </w:p>
    <w:p w14:paraId="3708D355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</w:p>
    <w:p w14:paraId="68A0315A" w14:textId="55C9A7A0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1.2. </w:t>
      </w:r>
      <w:r w:rsidR="008A545B" w:rsidRPr="00012BD5">
        <w:rPr>
          <w:b/>
          <w:u w:val="single"/>
          <w:lang w:val="lv-LV"/>
        </w:rPr>
        <w:t>Apdrošinā</w:t>
      </w:r>
      <w:r w:rsidR="004761F3">
        <w:rPr>
          <w:b/>
          <w:u w:val="single"/>
          <w:lang w:val="lv-LV"/>
        </w:rPr>
        <w:t>tājam</w:t>
      </w:r>
      <w:r w:rsidR="00E22A97" w:rsidRPr="00012BD5">
        <w:rPr>
          <w:b/>
          <w:u w:val="single"/>
          <w:lang w:val="lv-LV"/>
        </w:rPr>
        <w:t xml:space="preserve"> </w:t>
      </w:r>
      <w:r w:rsidR="008A545B" w:rsidRPr="00012BD5">
        <w:rPr>
          <w:b/>
          <w:u w:val="single"/>
          <w:lang w:val="lv-LV"/>
        </w:rPr>
        <w:t>un pārapdrošinā</w:t>
      </w:r>
      <w:r w:rsidR="004761F3">
        <w:rPr>
          <w:b/>
          <w:u w:val="single"/>
          <w:lang w:val="lv-LV"/>
        </w:rPr>
        <w:t>tājam</w:t>
      </w:r>
    </w:p>
    <w:p w14:paraId="649242DA" w14:textId="4DB0C191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 xml:space="preserve">Saskaņā ar Komisijas </w:t>
      </w:r>
      <w:r w:rsidR="00113AFC" w:rsidRPr="00113AFC">
        <w:rPr>
          <w:lang w:val="lv-LV"/>
        </w:rPr>
        <w:t xml:space="preserve">2020. gada 4. augusta </w:t>
      </w:r>
      <w:r w:rsidRPr="00012BD5">
        <w:rPr>
          <w:lang w:val="lv-LV"/>
        </w:rPr>
        <w:t>normatīvajiem noteikumiem Nr.</w:t>
      </w:r>
      <w:r w:rsidR="005A071A">
        <w:rPr>
          <w:lang w:val="lv-LV"/>
        </w:rPr>
        <w:t> </w:t>
      </w:r>
      <w:r w:rsidR="00111938" w:rsidRPr="00012BD5">
        <w:rPr>
          <w:lang w:val="lv-LV"/>
        </w:rPr>
        <w:t xml:space="preserve">114 </w:t>
      </w:r>
      <w:r w:rsidRPr="00012BD5">
        <w:rPr>
          <w:lang w:val="lv-LV"/>
        </w:rPr>
        <w:t xml:space="preserve">"Apdrošināšanas un pārapdrošināšanas sabiedrību un </w:t>
      </w:r>
      <w:r w:rsidR="00111938" w:rsidRPr="00012BD5">
        <w:rPr>
          <w:lang w:val="lv-LV"/>
        </w:rPr>
        <w:t xml:space="preserve">ārvalsts </w:t>
      </w:r>
      <w:r w:rsidRPr="00012BD5">
        <w:rPr>
          <w:lang w:val="lv-LV"/>
        </w:rPr>
        <w:t xml:space="preserve">apdrošinātāju filiāļu gada pārskata un konsolidētā gada pārskata sagatavošanas normatīvie noteikumi" peļņas vai zaudējumu aprēķinā iekļautais bruto parakstīto apdrošināšanas </w:t>
      </w:r>
      <w:r w:rsidR="004761F3">
        <w:rPr>
          <w:lang w:val="lv-LV"/>
        </w:rPr>
        <w:t xml:space="preserve">un pārapdrošināšanas </w:t>
      </w:r>
      <w:r w:rsidRPr="00012BD5">
        <w:rPr>
          <w:lang w:val="lv-LV"/>
        </w:rPr>
        <w:t>prēmiju apmērs.</w:t>
      </w:r>
    </w:p>
    <w:p w14:paraId="5A1B9A62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</w:p>
    <w:p w14:paraId="6FFE7EBC" w14:textId="4FB7DC7E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1.3. </w:t>
      </w:r>
      <w:r w:rsidR="008A545B" w:rsidRPr="00012BD5">
        <w:rPr>
          <w:b/>
          <w:u w:val="single"/>
          <w:lang w:val="lv-LV"/>
        </w:rPr>
        <w:t xml:space="preserve">Apdrošināšanas </w:t>
      </w:r>
      <w:r w:rsidR="004761F3">
        <w:rPr>
          <w:b/>
          <w:u w:val="single"/>
          <w:lang w:val="lv-LV"/>
        </w:rPr>
        <w:t xml:space="preserve">un pārapdrošināšanas </w:t>
      </w:r>
      <w:r w:rsidR="008A545B" w:rsidRPr="00012BD5">
        <w:rPr>
          <w:b/>
          <w:u w:val="single"/>
          <w:lang w:val="lv-LV"/>
        </w:rPr>
        <w:t>starpniekam</w:t>
      </w:r>
    </w:p>
    <w:p w14:paraId="1150EA09" w14:textId="7F495578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>Gada pārskatu un konsolidēto gada pārskatu likuma 41. pantā minēt</w:t>
      </w:r>
      <w:r w:rsidR="005A071A">
        <w:rPr>
          <w:lang w:val="lv-LV"/>
        </w:rPr>
        <w:t>ā</w:t>
      </w:r>
      <w:r w:rsidRPr="00012BD5">
        <w:rPr>
          <w:lang w:val="lv-LV"/>
        </w:rPr>
        <w:t xml:space="preserve"> </w:t>
      </w:r>
      <w:r w:rsidR="005A071A">
        <w:rPr>
          <w:lang w:val="lv-LV"/>
        </w:rPr>
        <w:t>n</w:t>
      </w:r>
      <w:r w:rsidRPr="00012BD5">
        <w:rPr>
          <w:lang w:val="lv-LV"/>
        </w:rPr>
        <w:t>eto apgrozījuma apmērs.</w:t>
      </w:r>
    </w:p>
    <w:p w14:paraId="682F18EF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</w:p>
    <w:p w14:paraId="71DC7578" w14:textId="315F86DC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1.4. </w:t>
      </w:r>
      <w:r w:rsidR="008A545B" w:rsidRPr="00012BD5">
        <w:rPr>
          <w:b/>
          <w:u w:val="single"/>
          <w:lang w:val="lv-LV"/>
        </w:rPr>
        <w:t>Maksājumu iestādei un elektroniskās naudas iestādei</w:t>
      </w:r>
    </w:p>
    <w:p w14:paraId="319364F8" w14:textId="49ABE5A0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lastRenderedPageBreak/>
        <w:t>Gada pārskatu un konsolidēto gada pārskatu likuma 41. pantā minēt</w:t>
      </w:r>
      <w:r w:rsidR="005A071A">
        <w:rPr>
          <w:lang w:val="lv-LV"/>
        </w:rPr>
        <w:t>ā</w:t>
      </w:r>
      <w:r w:rsidRPr="00012BD5">
        <w:rPr>
          <w:lang w:val="lv-LV"/>
        </w:rPr>
        <w:t xml:space="preserve"> </w:t>
      </w:r>
      <w:r w:rsidR="005A071A">
        <w:rPr>
          <w:lang w:val="lv-LV"/>
        </w:rPr>
        <w:t>n</w:t>
      </w:r>
      <w:r w:rsidRPr="00012BD5">
        <w:rPr>
          <w:lang w:val="lv-LV"/>
        </w:rPr>
        <w:t>eto apgrozījuma apmērs, kas gūts no pamatdarbības, t.i., maksājumu pakalpojumu vai elektroniskās naudas iestādes pakalpojumu sniegšanas.</w:t>
      </w:r>
    </w:p>
    <w:p w14:paraId="7E9558FA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</w:p>
    <w:p w14:paraId="42837BB0" w14:textId="032F5ABF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1.5. </w:t>
      </w:r>
      <w:r w:rsidR="008A545B" w:rsidRPr="00012BD5">
        <w:rPr>
          <w:b/>
          <w:u w:val="single"/>
          <w:lang w:val="lv-LV"/>
        </w:rPr>
        <w:t>Krājaizdevu sabiedrībai</w:t>
      </w:r>
    </w:p>
    <w:p w14:paraId="492CD4FF" w14:textId="08E9950C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>Saskaņā ar Komisijas</w:t>
      </w:r>
      <w:r w:rsidR="00113AFC">
        <w:rPr>
          <w:lang w:val="lv-LV"/>
        </w:rPr>
        <w:t xml:space="preserve"> </w:t>
      </w:r>
      <w:r w:rsidR="00113AFC" w:rsidRPr="00113AFC">
        <w:rPr>
          <w:lang w:val="lv-LV"/>
        </w:rPr>
        <w:t xml:space="preserve">2020. gada </w:t>
      </w:r>
      <w:r w:rsidR="00113AFC">
        <w:rPr>
          <w:lang w:val="lv-LV"/>
        </w:rPr>
        <w:t>1</w:t>
      </w:r>
      <w:r w:rsidR="00113AFC" w:rsidRPr="00113AFC">
        <w:rPr>
          <w:lang w:val="lv-LV"/>
        </w:rPr>
        <w:t xml:space="preserve">. </w:t>
      </w:r>
      <w:r w:rsidR="00113AFC">
        <w:rPr>
          <w:lang w:val="lv-LV"/>
        </w:rPr>
        <w:t>septembra</w:t>
      </w:r>
      <w:r w:rsidR="00113AFC" w:rsidRPr="00113AFC">
        <w:rPr>
          <w:lang w:val="lv-LV"/>
        </w:rPr>
        <w:t xml:space="preserve"> </w:t>
      </w:r>
      <w:r w:rsidRPr="00012BD5">
        <w:rPr>
          <w:lang w:val="lv-LV"/>
        </w:rPr>
        <w:t>normatīvajiem noteikumiem Nr.</w:t>
      </w:r>
      <w:r w:rsidR="005A071A">
        <w:rPr>
          <w:lang w:val="lv-LV"/>
        </w:rPr>
        <w:t> </w:t>
      </w:r>
      <w:r w:rsidR="00111938" w:rsidRPr="00012BD5">
        <w:rPr>
          <w:lang w:val="lv-LV"/>
        </w:rPr>
        <w:t xml:space="preserve">145 </w:t>
      </w:r>
      <w:r w:rsidRPr="00012BD5">
        <w:rPr>
          <w:lang w:val="lv-LV"/>
        </w:rPr>
        <w:t xml:space="preserve">"Krājaizdevu sabiedrību gada pārskata sagatavošanas normatīvie noteikumi" </w:t>
      </w:r>
      <w:r w:rsidR="005A071A" w:rsidRPr="00012BD5">
        <w:rPr>
          <w:lang w:val="lv-LV"/>
        </w:rPr>
        <w:t xml:space="preserve">šādu </w:t>
      </w:r>
      <w:r w:rsidRPr="00012BD5">
        <w:rPr>
          <w:lang w:val="lv-LV"/>
        </w:rPr>
        <w:t>peļņas vai zaudējumu aprēķinā iekļauto posteņu summa:</w:t>
      </w:r>
    </w:p>
    <w:p w14:paraId="57F40E1B" w14:textId="77777777" w:rsidR="008A545B" w:rsidRPr="00012BD5" w:rsidRDefault="008A545B" w:rsidP="00016A80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procentu ienākumi;</w:t>
      </w:r>
    </w:p>
    <w:p w14:paraId="48CE08FC" w14:textId="77777777" w:rsidR="008A545B" w:rsidRPr="00012BD5" w:rsidRDefault="008A545B" w:rsidP="00016A80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komisijas naudas ienākumi;</w:t>
      </w:r>
    </w:p>
    <w:p w14:paraId="233B89F5" w14:textId="77777777" w:rsidR="008A545B" w:rsidRPr="00012BD5" w:rsidRDefault="008A545B" w:rsidP="00016A80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peļņa/zaudējumi no darījumiem ar parāda vērtspapīriem un ārvalstu valūtu (tikai pozitīvais rezultāts);</w:t>
      </w:r>
    </w:p>
    <w:p w14:paraId="3E2850C0" w14:textId="77777777" w:rsidR="008A545B" w:rsidRPr="00012BD5" w:rsidRDefault="008A545B" w:rsidP="00016A80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citi ienākumi;</w:t>
      </w:r>
    </w:p>
    <w:p w14:paraId="2BAE99F0" w14:textId="77777777" w:rsidR="008A545B" w:rsidRPr="00012BD5" w:rsidRDefault="008A545B" w:rsidP="00016A80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ilgtermiņa ieguldījumu pārvērtēšanas peļņa/zaudējumi (tikai pozitīvais rezultāts).</w:t>
      </w:r>
    </w:p>
    <w:p w14:paraId="64544AE7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</w:p>
    <w:p w14:paraId="10CA5B09" w14:textId="78ADA31F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1.6. </w:t>
      </w:r>
      <w:r w:rsidR="008A545B" w:rsidRPr="00012BD5">
        <w:rPr>
          <w:b/>
          <w:u w:val="single"/>
          <w:lang w:val="lv-LV"/>
        </w:rPr>
        <w:t>Alternatīvo ieguldījumu fondu pārvaldniekam</w:t>
      </w:r>
    </w:p>
    <w:p w14:paraId="3E1316F3" w14:textId="7ED10623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>Gada pārskatu un konsolidēto gada pārskatu likuma 41. pantā minēt</w:t>
      </w:r>
      <w:r w:rsidR="005A071A">
        <w:rPr>
          <w:lang w:val="lv-LV"/>
        </w:rPr>
        <w:t>ā</w:t>
      </w:r>
      <w:r w:rsidRPr="00012BD5">
        <w:rPr>
          <w:lang w:val="lv-LV"/>
        </w:rPr>
        <w:t xml:space="preserve"> </w:t>
      </w:r>
      <w:r w:rsidR="005A071A">
        <w:rPr>
          <w:lang w:val="lv-LV"/>
        </w:rPr>
        <w:t>n</w:t>
      </w:r>
      <w:r w:rsidRPr="00012BD5">
        <w:rPr>
          <w:lang w:val="lv-LV"/>
        </w:rPr>
        <w:t>eto apgrozījuma apmērs.</w:t>
      </w:r>
    </w:p>
    <w:p w14:paraId="7D644855" w14:textId="77777777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</w:p>
    <w:p w14:paraId="0B37DFD7" w14:textId="2621B4A2" w:rsidR="008A545B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1.7. </w:t>
      </w:r>
      <w:r w:rsidR="008A545B" w:rsidRPr="00012BD5">
        <w:rPr>
          <w:b/>
          <w:u w:val="single"/>
          <w:lang w:val="lv-LV"/>
        </w:rPr>
        <w:t>Privātajam pensiju fondam</w:t>
      </w:r>
    </w:p>
    <w:p w14:paraId="7992F16D" w14:textId="33E56C18" w:rsidR="008A545B" w:rsidRPr="00012BD5" w:rsidRDefault="008A545B" w:rsidP="00016A80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lang w:val="lv-LV"/>
        </w:rPr>
      </w:pPr>
      <w:r w:rsidRPr="00012BD5">
        <w:rPr>
          <w:lang w:val="lv-LV"/>
        </w:rPr>
        <w:t>Saskaņā ar Komisijas</w:t>
      </w:r>
      <w:r w:rsidR="00113AFC">
        <w:rPr>
          <w:lang w:val="lv-LV"/>
        </w:rPr>
        <w:t xml:space="preserve"> </w:t>
      </w:r>
      <w:r w:rsidR="00111938" w:rsidRPr="00012BD5">
        <w:rPr>
          <w:lang w:val="lv-LV"/>
        </w:rPr>
        <w:t>2020.</w:t>
      </w:r>
      <w:r w:rsidR="00113AFC">
        <w:rPr>
          <w:lang w:val="lv-LV"/>
        </w:rPr>
        <w:t> gada 3. marta</w:t>
      </w:r>
      <w:r w:rsidRPr="00012BD5">
        <w:rPr>
          <w:lang w:val="lv-LV"/>
        </w:rPr>
        <w:t xml:space="preserve"> normatīvajiem noteikumiem Nr. </w:t>
      </w:r>
      <w:r w:rsidR="00111938" w:rsidRPr="00012BD5">
        <w:rPr>
          <w:lang w:val="lv-LV"/>
        </w:rPr>
        <w:t xml:space="preserve">35 </w:t>
      </w:r>
      <w:r w:rsidRPr="00012BD5">
        <w:rPr>
          <w:lang w:val="lv-LV"/>
        </w:rPr>
        <w:t xml:space="preserve">"Privāto pensiju fondu gada pārskata sagatavošanas normatīvie noteikumi" </w:t>
      </w:r>
      <w:r w:rsidR="005A071A" w:rsidRPr="00012BD5">
        <w:rPr>
          <w:lang w:val="lv-LV"/>
        </w:rPr>
        <w:t xml:space="preserve">šādu </w:t>
      </w:r>
      <w:r w:rsidRPr="00012BD5">
        <w:rPr>
          <w:lang w:val="lv-LV"/>
        </w:rPr>
        <w:t>peļņas vai zaudējumu aprēķinā iekļauto posteņu summa:</w:t>
      </w:r>
    </w:p>
    <w:p w14:paraId="1544D6E4" w14:textId="77777777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pamatdarbības ienākumi;</w:t>
      </w:r>
    </w:p>
    <w:p w14:paraId="0CF498B6" w14:textId="77777777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procentu ienākumi;</w:t>
      </w:r>
    </w:p>
    <w:p w14:paraId="1E933438" w14:textId="77777777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dividenžu ienākumi;</w:t>
      </w:r>
    </w:p>
    <w:p w14:paraId="1403A15A" w14:textId="53A45C54" w:rsidR="0004638E" w:rsidRPr="00012BD5" w:rsidRDefault="0004638E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peļņa/zaudējumi, pārtraucot atzīt finanšu aktīvus un finanšu saistības, kas nav vērtētas patiesajā vērtībā ar atspoguļojumu peļņas vai zaudējumu aprēķinā (tikai pozitīvais rezultāts)</w:t>
      </w:r>
      <w:r w:rsidR="00146A82">
        <w:rPr>
          <w:lang w:val="lv-LV"/>
        </w:rPr>
        <w:t>;</w:t>
      </w:r>
    </w:p>
    <w:p w14:paraId="6C14E508" w14:textId="6FAD8E53" w:rsidR="0004638E" w:rsidRPr="00012BD5" w:rsidRDefault="0004638E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neto peļņa/zaudējumi no finanšu aktīviem un finanšu saistībām, kas novērtētas patiesajā vērtībā ar atspoguļojumu peļņas vai zaudējumu aprēķinā (tikai pozitīvais rezultāts)</w:t>
      </w:r>
      <w:r w:rsidR="00146A82">
        <w:rPr>
          <w:lang w:val="lv-LV"/>
        </w:rPr>
        <w:t>;</w:t>
      </w:r>
    </w:p>
    <w:p w14:paraId="7757A472" w14:textId="77777777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patiesās vērtības izmaiņas riska ierobežošanas uzskaitē (tikai pozitīvais rezultāts);</w:t>
      </w:r>
    </w:p>
    <w:p w14:paraId="784CA591" w14:textId="6756BAAA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ārvalstu valūtu pārvērtēšanas peļņa/zaudējumi (tikai pozitīvais rezultāts);</w:t>
      </w:r>
    </w:p>
    <w:p w14:paraId="2F78AB21" w14:textId="77777777" w:rsidR="008A545B" w:rsidRPr="00012BD5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īpašuma, iekārtu un aprīkojuma, ieguldījumu īpašuma un nemateriālo aktīvu atzīšanas pārtraukšanas peļņa/zaudējumi (tikai pozitīvais rezultāts);</w:t>
      </w:r>
    </w:p>
    <w:p w14:paraId="4349E9C7" w14:textId="2449134E" w:rsidR="008A545B" w:rsidRDefault="008A545B" w:rsidP="00016A80">
      <w:pPr>
        <w:pStyle w:val="ListParagraph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contextualSpacing/>
        <w:jc w:val="both"/>
        <w:rPr>
          <w:lang w:val="lv-LV"/>
        </w:rPr>
      </w:pPr>
      <w:r w:rsidRPr="00012BD5">
        <w:rPr>
          <w:lang w:val="lv-LV"/>
        </w:rPr>
        <w:t>pārējie ienākumi.</w:t>
      </w:r>
    </w:p>
    <w:p w14:paraId="22766018" w14:textId="77777777" w:rsidR="00012BD5" w:rsidRDefault="00012BD5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</w:p>
    <w:p w14:paraId="55673043" w14:textId="2E69779C" w:rsidR="00012BD5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1.8. </w:t>
      </w:r>
      <w:r w:rsidR="00012BD5" w:rsidRPr="00012BD5">
        <w:rPr>
          <w:b/>
          <w:bCs/>
          <w:u w:val="single"/>
          <w:lang w:val="lv-LV"/>
        </w:rPr>
        <w:t>Emitentam, ieguldītājam</w:t>
      </w:r>
    </w:p>
    <w:p w14:paraId="65444FB7" w14:textId="3C2981F6" w:rsidR="00437AC1" w:rsidRDefault="00012BD5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  <w:r w:rsidRPr="00012BD5">
        <w:rPr>
          <w:lang w:val="lv-LV"/>
        </w:rPr>
        <w:t>Gada pārskatu un konsolidēto gada pārskatu likuma 41. pantā minēt</w:t>
      </w:r>
      <w:r w:rsidR="00146A82">
        <w:rPr>
          <w:lang w:val="lv-LV"/>
        </w:rPr>
        <w:t>ā</w:t>
      </w:r>
      <w:r w:rsidRPr="00012BD5">
        <w:rPr>
          <w:lang w:val="lv-LV"/>
        </w:rPr>
        <w:t xml:space="preserve"> </w:t>
      </w:r>
      <w:r w:rsidR="00146A82">
        <w:rPr>
          <w:lang w:val="lv-LV"/>
        </w:rPr>
        <w:t>n</w:t>
      </w:r>
      <w:r w:rsidRPr="00012BD5">
        <w:rPr>
          <w:lang w:val="lv-LV"/>
        </w:rPr>
        <w:t>eto apgrozījuma apmērs.</w:t>
      </w:r>
    </w:p>
    <w:p w14:paraId="1EE51613" w14:textId="558C9AA3" w:rsidR="00E707FE" w:rsidRDefault="00E707FE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</w:p>
    <w:p w14:paraId="6065924E" w14:textId="0EFCE022" w:rsidR="00E707FE" w:rsidRPr="00012BD5" w:rsidRDefault="003E09BC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1.9. </w:t>
      </w:r>
      <w:r w:rsidR="00E707FE" w:rsidRPr="00E707FE">
        <w:rPr>
          <w:b/>
          <w:u w:val="single"/>
          <w:lang w:val="lv-LV"/>
        </w:rPr>
        <w:t>Kolektīvās finansēšanas pakalpojumu sniedzējam</w:t>
      </w:r>
    </w:p>
    <w:p w14:paraId="0E1540DA" w14:textId="35EC597F" w:rsidR="00E707FE" w:rsidRDefault="00E707FE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  <w:r w:rsidRPr="00012BD5">
        <w:rPr>
          <w:lang w:val="lv-LV"/>
        </w:rPr>
        <w:t>Gada pārskatu un konsolidēto gada pārskatu likuma 41. pantā minēt</w:t>
      </w:r>
      <w:r w:rsidR="00146A82">
        <w:rPr>
          <w:lang w:val="lv-LV"/>
        </w:rPr>
        <w:t>ā</w:t>
      </w:r>
      <w:r w:rsidRPr="00012BD5">
        <w:rPr>
          <w:lang w:val="lv-LV"/>
        </w:rPr>
        <w:t xml:space="preserve"> </w:t>
      </w:r>
      <w:r w:rsidR="00146A82">
        <w:rPr>
          <w:lang w:val="lv-LV"/>
        </w:rPr>
        <w:t>n</w:t>
      </w:r>
      <w:r w:rsidRPr="00012BD5">
        <w:rPr>
          <w:lang w:val="lv-LV"/>
        </w:rPr>
        <w:t xml:space="preserve">eto apgrozījuma apmērs, kas gūts no pamatdarbības, t.i., </w:t>
      </w:r>
      <w:r>
        <w:rPr>
          <w:lang w:val="lv-LV"/>
        </w:rPr>
        <w:t xml:space="preserve">kolektīvās finansēšanas </w:t>
      </w:r>
      <w:r w:rsidRPr="00012BD5">
        <w:rPr>
          <w:lang w:val="lv-LV"/>
        </w:rPr>
        <w:t>pakalpojumu sniegšanas.</w:t>
      </w:r>
    </w:p>
    <w:p w14:paraId="3E762623" w14:textId="77777777" w:rsidR="00146A82" w:rsidRDefault="00146A82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</w:p>
    <w:p w14:paraId="7E9911AB" w14:textId="473233AE" w:rsidR="000F7D99" w:rsidRPr="000F7D99" w:rsidRDefault="005A071A" w:rsidP="00016A80">
      <w:pPr>
        <w:pStyle w:val="ListParagraph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color w:val="000000"/>
          <w:u w:val="single"/>
          <w:lang w:val="lv-LV"/>
        </w:rPr>
      </w:pPr>
      <w:r>
        <w:rPr>
          <w:rFonts w:eastAsiaTheme="minorHAnsi"/>
          <w:b/>
          <w:bCs/>
          <w:color w:val="000000"/>
          <w:u w:val="single"/>
          <w:lang w:val="lv-LV"/>
        </w:rPr>
        <w:t>2. </w:t>
      </w:r>
      <w:r w:rsidR="000F7D99" w:rsidRPr="000F7D99">
        <w:rPr>
          <w:rFonts w:eastAsiaTheme="minorHAnsi"/>
          <w:b/>
          <w:bCs/>
          <w:color w:val="000000"/>
          <w:u w:val="single"/>
          <w:lang w:val="lv-LV"/>
        </w:rPr>
        <w:t>Kredītiestāde</w:t>
      </w:r>
      <w:r w:rsidR="00146A82">
        <w:rPr>
          <w:rFonts w:eastAsiaTheme="minorHAnsi"/>
          <w:b/>
          <w:bCs/>
          <w:color w:val="000000"/>
          <w:u w:val="single"/>
          <w:lang w:val="lv-LV"/>
        </w:rPr>
        <w:t>s</w:t>
      </w:r>
      <w:r w:rsidR="000F7D99" w:rsidRPr="000F7D99">
        <w:rPr>
          <w:rFonts w:eastAsiaTheme="minorHAnsi"/>
          <w:b/>
          <w:bCs/>
          <w:color w:val="000000"/>
          <w:u w:val="single"/>
          <w:lang w:val="lv-LV"/>
        </w:rPr>
        <w:t xml:space="preserve"> gada neto ienākumu summa</w:t>
      </w:r>
    </w:p>
    <w:p w14:paraId="5147D1BE" w14:textId="7B84A5E9" w:rsidR="000F7D99" w:rsidRPr="000F7D99" w:rsidRDefault="00146A82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ms Rmn" w:eastAsiaTheme="minorHAnsi" w:hAnsi="Tms Rmn" w:cs="Tms Rmn"/>
          <w:color w:val="000000" w:themeColor="text1"/>
          <w:lang w:val="lv-LV"/>
        </w:rPr>
      </w:pPr>
      <w:r>
        <w:rPr>
          <w:rFonts w:ascii="Tms Rmn" w:eastAsiaTheme="minorHAnsi" w:hAnsi="Tms Rmn" w:cs="Tms Rmn"/>
          <w:color w:val="000000"/>
          <w:lang w:val="lv-LV"/>
        </w:rPr>
        <w:t>Kredītiestādes gada neto ienākumu summa s</w:t>
      </w:r>
      <w:r w:rsidR="000F7D99">
        <w:rPr>
          <w:rFonts w:ascii="Tms Rmn" w:eastAsiaTheme="minorHAnsi" w:hAnsi="Tms Rmn" w:cs="Tms Rmn"/>
          <w:color w:val="000000"/>
          <w:lang w:val="lv-LV"/>
        </w:rPr>
        <w:t xml:space="preserve">askaņā ar Komisijas </w:t>
      </w:r>
      <w:r w:rsidR="00113AFC" w:rsidRPr="00113AFC">
        <w:rPr>
          <w:rFonts w:ascii="Tms Rmn" w:eastAsiaTheme="minorHAnsi" w:hAnsi="Tms Rmn" w:cs="Tms Rmn"/>
          <w:color w:val="000000"/>
          <w:lang w:val="lv-LV"/>
        </w:rPr>
        <w:t xml:space="preserve">2020. gada 4. augusta </w:t>
      </w:r>
      <w:r w:rsidR="000F7D99">
        <w:rPr>
          <w:rFonts w:ascii="Tms Rmn" w:eastAsiaTheme="minorHAnsi" w:hAnsi="Tms Rmn" w:cs="Tms Rmn"/>
          <w:color w:val="000000"/>
          <w:lang w:val="lv-LV"/>
        </w:rPr>
        <w:t>normatīvajiem noteikumiem Nr.</w:t>
      </w:r>
      <w:r>
        <w:rPr>
          <w:rFonts w:ascii="Tms Rmn" w:eastAsiaTheme="minorHAnsi" w:hAnsi="Tms Rmn" w:cs="Tms Rmn"/>
          <w:color w:val="000000"/>
          <w:lang w:val="lv-LV"/>
        </w:rPr>
        <w:t> </w:t>
      </w:r>
      <w:r w:rsidR="000F7D99">
        <w:rPr>
          <w:rFonts w:ascii="Tms Rmn" w:eastAsiaTheme="minorHAnsi" w:hAnsi="Tms Rmn" w:cs="Tms Rmn"/>
          <w:color w:val="000000"/>
          <w:lang w:val="lv-LV"/>
        </w:rPr>
        <w:t xml:space="preserve">113 "Kredītiestāžu, ieguldījumu brokeru sabiedrību un ieguldījumu pārvaldes sabiedrību gada pārskata un konsolidētā gada pārskata </w:t>
      </w:r>
      <w:r w:rsidR="00D87560">
        <w:rPr>
          <w:rFonts w:ascii="Tms Rmn" w:eastAsiaTheme="minorHAnsi" w:hAnsi="Tms Rmn" w:cs="Tms Rmn"/>
          <w:color w:val="000000"/>
          <w:lang w:val="lv-LV"/>
        </w:rPr>
        <w:t xml:space="preserve">sagatavošanas </w:t>
      </w:r>
      <w:r w:rsidR="000F7D99">
        <w:rPr>
          <w:rFonts w:ascii="Tms Rmn" w:eastAsiaTheme="minorHAnsi" w:hAnsi="Tms Rmn" w:cs="Tms Rmn"/>
          <w:color w:val="000000"/>
          <w:lang w:val="lv-LV"/>
        </w:rPr>
        <w:t xml:space="preserve">normatīvie noteikumi" </w:t>
      </w:r>
      <w:r>
        <w:rPr>
          <w:rFonts w:ascii="Tms Rmn" w:eastAsiaTheme="minorHAnsi" w:hAnsi="Tms Rmn" w:cs="Tms Rmn"/>
          <w:color w:val="000000"/>
          <w:lang w:val="lv-LV"/>
        </w:rPr>
        <w:t xml:space="preserve">ir šādu </w:t>
      </w:r>
      <w:r w:rsidR="000F7D99">
        <w:rPr>
          <w:rFonts w:ascii="Tms Rmn" w:eastAsiaTheme="minorHAnsi" w:hAnsi="Tms Rmn" w:cs="Tms Rmn"/>
          <w:color w:val="000000"/>
          <w:lang w:val="lv-LV"/>
        </w:rPr>
        <w:t xml:space="preserve">peļņas vai zaudējumu aprēķinā iekļauto posteņu summa, </w:t>
      </w:r>
      <w:r w:rsidR="000F7D99" w:rsidRPr="000F7D99">
        <w:rPr>
          <w:rFonts w:ascii="Tms Rmn" w:eastAsiaTheme="minorHAnsi" w:hAnsi="Tms Rmn" w:cs="Tms Rmn"/>
          <w:color w:val="000000" w:themeColor="text1"/>
          <w:lang w:val="lv-LV"/>
        </w:rPr>
        <w:t>kas atbilst summai, kuru saskaņā ar E</w:t>
      </w:r>
      <w:r w:rsidR="00113AFC">
        <w:rPr>
          <w:rFonts w:ascii="Tms Rmn" w:eastAsiaTheme="minorHAnsi" w:hAnsi="Tms Rmn" w:cs="Tms Rmn"/>
          <w:color w:val="000000" w:themeColor="text1"/>
          <w:lang w:val="lv-LV"/>
        </w:rPr>
        <w:t xml:space="preserve">iropas Parlamenta un Padomes 2013. gada 26. jūnija </w:t>
      </w:r>
      <w:r>
        <w:rPr>
          <w:rFonts w:ascii="Tms Rmn" w:eastAsiaTheme="minorHAnsi" w:hAnsi="Tms Rmn" w:cs="Tms Rmn"/>
          <w:color w:val="000000" w:themeColor="text1"/>
          <w:lang w:val="lv-LV"/>
        </w:rPr>
        <w:t>R</w:t>
      </w:r>
      <w:r w:rsidR="000F7D99" w:rsidRPr="000F7D99">
        <w:rPr>
          <w:rFonts w:ascii="Tms Rmn" w:eastAsiaTheme="minorHAnsi" w:hAnsi="Tms Rmn" w:cs="Tms Rmn"/>
          <w:color w:val="000000" w:themeColor="text1"/>
          <w:lang w:val="lv-LV"/>
        </w:rPr>
        <w:t xml:space="preserve">egulas </w:t>
      </w:r>
      <w:r w:rsidR="000F7D99" w:rsidRPr="00146A82">
        <w:rPr>
          <w:rFonts w:ascii="Tms Rmn" w:eastAsiaTheme="minorHAnsi" w:hAnsi="Tms Rmn" w:cs="Tms Rmn"/>
          <w:color w:val="000000" w:themeColor="text1"/>
          <w:lang w:val="lv-LV"/>
        </w:rPr>
        <w:t xml:space="preserve">Nr. </w:t>
      </w:r>
      <w:hyperlink r:id="rId7" w:history="1">
        <w:r w:rsidR="000F7D99" w:rsidRPr="00016A80">
          <w:rPr>
            <w:rFonts w:ascii="Tms Rmn" w:eastAsiaTheme="minorHAnsi" w:hAnsi="Tms Rmn" w:cs="Tms Rmn"/>
            <w:color w:val="000000" w:themeColor="text1"/>
            <w:lang w:val="lv-LV"/>
          </w:rPr>
          <w:t>575/2013</w:t>
        </w:r>
      </w:hyperlink>
      <w:r w:rsidR="000F7D99" w:rsidRPr="000F7D99">
        <w:rPr>
          <w:rFonts w:ascii="Tms Rmn" w:eastAsiaTheme="minorHAnsi" w:hAnsi="Tms Rmn" w:cs="Tms Rmn"/>
          <w:color w:val="000000" w:themeColor="text1"/>
          <w:lang w:val="lv-LV"/>
        </w:rPr>
        <w:t xml:space="preserve"> </w:t>
      </w:r>
      <w:r w:rsidR="00113AFC" w:rsidRPr="00113AFC">
        <w:rPr>
          <w:rFonts w:ascii="Tms Rmn" w:eastAsiaTheme="minorHAnsi" w:hAnsi="Tms Rmn" w:cs="Tms Rmn"/>
          <w:color w:val="000000" w:themeColor="text1"/>
          <w:lang w:val="lv-LV"/>
        </w:rPr>
        <w:t xml:space="preserve">par prudenciālajām prasībām attiecībā uz </w:t>
      </w:r>
      <w:r w:rsidR="00113AFC" w:rsidRPr="00016A80">
        <w:rPr>
          <w:rFonts w:ascii="Tms Rmn" w:eastAsiaTheme="minorHAnsi" w:hAnsi="Tms Rmn" w:cs="Tms Rmn"/>
          <w:color w:val="000000" w:themeColor="text1"/>
          <w:lang w:val="lv-LV"/>
        </w:rPr>
        <w:t>kredītiestādēm,</w:t>
      </w:r>
      <w:r w:rsidR="00113AFC" w:rsidRPr="00113AFC">
        <w:rPr>
          <w:rFonts w:ascii="Tms Rmn" w:eastAsiaTheme="minorHAnsi" w:hAnsi="Tms Rmn" w:cs="Tms Rmn"/>
          <w:color w:val="000000" w:themeColor="text1"/>
          <w:lang w:val="lv-LV"/>
        </w:rPr>
        <w:t xml:space="preserve"> un ar ko groza Regulu </w:t>
      </w:r>
      <w:r w:rsidR="00113AFC" w:rsidRPr="00113AFC">
        <w:rPr>
          <w:rFonts w:ascii="Tms Rmn" w:eastAsiaTheme="minorHAnsi" w:hAnsi="Tms Rmn" w:cs="Tms Rmn"/>
          <w:color w:val="000000" w:themeColor="text1"/>
          <w:lang w:val="lv-LV"/>
        </w:rPr>
        <w:lastRenderedPageBreak/>
        <w:t>(ES) Nr.</w:t>
      </w:r>
      <w:r>
        <w:rPr>
          <w:rFonts w:ascii="Tms Rmn" w:eastAsiaTheme="minorHAnsi" w:hAnsi="Tms Rmn" w:cs="Tms Rmn"/>
          <w:color w:val="000000" w:themeColor="text1"/>
          <w:lang w:val="lv-LV"/>
        </w:rPr>
        <w:t> </w:t>
      </w:r>
      <w:r w:rsidR="00113AFC" w:rsidRPr="00113AFC">
        <w:rPr>
          <w:rFonts w:ascii="Tms Rmn" w:eastAsiaTheme="minorHAnsi" w:hAnsi="Tms Rmn" w:cs="Tms Rmn"/>
          <w:color w:val="000000" w:themeColor="text1"/>
          <w:lang w:val="lv-LV"/>
        </w:rPr>
        <w:t xml:space="preserve">648/2012 </w:t>
      </w:r>
      <w:r w:rsidR="000F7D99" w:rsidRPr="000F7D99">
        <w:rPr>
          <w:rFonts w:ascii="Tms Rmn" w:eastAsiaTheme="minorHAnsi" w:hAnsi="Tms Rmn" w:cs="Tms Rmn"/>
          <w:color w:val="000000" w:themeColor="text1"/>
          <w:lang w:val="lv-LV"/>
        </w:rPr>
        <w:t>316. pantu izmanto, lai aprēķinātu operacionālā riska pašu kapitāla prasību saskaņā ar pamatrādītāja pieeju:</w:t>
      </w:r>
    </w:p>
    <w:p w14:paraId="4B465358" w14:textId="55685FD4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a) procentu ienākumi;</w:t>
      </w:r>
    </w:p>
    <w:p w14:paraId="63F83155" w14:textId="17DD88C9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b) procentu izdevumi (-)</w:t>
      </w:r>
      <w:r w:rsidR="00146A82">
        <w:rPr>
          <w:rFonts w:eastAsiaTheme="minorHAnsi"/>
          <w:color w:val="000000"/>
          <w:lang w:val="lv-LV"/>
        </w:rPr>
        <w:t>;</w:t>
      </w:r>
    </w:p>
    <w:p w14:paraId="438965F7" w14:textId="3C6FA4B1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c) dividenžu ienākumi;</w:t>
      </w:r>
    </w:p>
    <w:p w14:paraId="091997A4" w14:textId="48B08204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d) komisijas naudas ienākumi;</w:t>
      </w:r>
    </w:p>
    <w:p w14:paraId="35DB1910" w14:textId="2435B134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e) komisijas naudas izdevumi (-)</w:t>
      </w:r>
      <w:r w:rsidR="00146A82">
        <w:rPr>
          <w:rFonts w:eastAsiaTheme="minorHAnsi"/>
          <w:color w:val="000000"/>
          <w:lang w:val="lv-LV"/>
        </w:rPr>
        <w:t>;</w:t>
      </w:r>
    </w:p>
    <w:p w14:paraId="315D5447" w14:textId="784CA83F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f) neto peļņa/zaudējumi, pārtraucot atzīt finanšu aktīvus un finanšu saistības, kas nav vērtētas patiesajā vērtībā ar atspoguļojumu peļņas vai zaudējumu aprēķinā (+/-)</w:t>
      </w:r>
      <w:r w:rsidR="00146A82">
        <w:rPr>
          <w:rFonts w:eastAsiaTheme="minorHAnsi"/>
          <w:color w:val="000000"/>
          <w:lang w:val="lv-LV"/>
        </w:rPr>
        <w:t>;</w:t>
      </w:r>
    </w:p>
    <w:p w14:paraId="6476FCFC" w14:textId="0E60CB33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 xml:space="preserve">g) neto peļņa/zaudējumi no finanšu aktīviem un finanšu saistībām, kas novērtētas patiesajā vērtībā ar atspoguļojumu peļņas vai zaudējumu aprēķinā (+/-) (rezultāts veidojas no FINREP pozīcijām 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>Neto peļņa/zaudējumi no tirdzniecības nolūkā turētiem finanšu aktīviem un saistībām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 xml:space="preserve">, 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>Neto peļņa/zaudējumi no netirdzniecības finanšu aktīviem, kas obligāti novērtējami patiesajā vērtībā ar atspoguļojumu peļņas vai zaudējumu aprēķinā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 xml:space="preserve">, 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>Neto peļņa/zaudējumi no finanšu aktīviem un saistībām, kas novērtēti patiesajā vērtībā ar atspoguļojumu peļņas vai zaudējumu aprēķinā</w:t>
      </w:r>
      <w:r w:rsidR="00146A82">
        <w:rPr>
          <w:rFonts w:eastAsiaTheme="minorHAnsi"/>
          <w:color w:val="000000"/>
          <w:lang w:val="lv-LV"/>
        </w:rPr>
        <w:t>"</w:t>
      </w:r>
      <w:r>
        <w:rPr>
          <w:rFonts w:eastAsiaTheme="minorHAnsi"/>
          <w:color w:val="000000"/>
          <w:lang w:val="lv-LV"/>
        </w:rPr>
        <w:t>)</w:t>
      </w:r>
      <w:r w:rsidR="00146A82">
        <w:rPr>
          <w:rFonts w:eastAsiaTheme="minorHAnsi"/>
          <w:color w:val="000000"/>
          <w:lang w:val="lv-LV"/>
        </w:rPr>
        <w:t>;</w:t>
      </w:r>
    </w:p>
    <w:p w14:paraId="43D43D8B" w14:textId="1517CBCA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h) neto peļņa/zaudējumi no riska ierobežošanas uzskaites</w:t>
      </w:r>
      <w:r w:rsidR="00D87560">
        <w:rPr>
          <w:rFonts w:eastAsiaTheme="minorHAnsi"/>
          <w:color w:val="000000"/>
          <w:lang w:val="lv-LV"/>
        </w:rPr>
        <w:t xml:space="preserve"> </w:t>
      </w:r>
      <w:r>
        <w:rPr>
          <w:rFonts w:eastAsiaTheme="minorHAnsi"/>
          <w:color w:val="000000"/>
          <w:lang w:val="lv-LV"/>
        </w:rPr>
        <w:t>(+/-);</w:t>
      </w:r>
    </w:p>
    <w:p w14:paraId="4049C9D9" w14:textId="188C6CA6" w:rsidR="000F7D99" w:rsidRDefault="000F7D99" w:rsidP="00016A8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i) neto ārvalstu valūtu kursa starpības peļņa/zaudējumi</w:t>
      </w:r>
      <w:r w:rsidR="00D87560">
        <w:rPr>
          <w:rFonts w:eastAsiaTheme="minorHAnsi"/>
          <w:color w:val="000000"/>
          <w:lang w:val="lv-LV"/>
        </w:rPr>
        <w:t xml:space="preserve"> </w:t>
      </w:r>
      <w:r>
        <w:rPr>
          <w:rFonts w:eastAsiaTheme="minorHAnsi"/>
          <w:color w:val="000000"/>
          <w:lang w:val="lv-LV"/>
        </w:rPr>
        <w:t>(+/-);</w:t>
      </w:r>
    </w:p>
    <w:p w14:paraId="43B0E611" w14:textId="29B02670" w:rsidR="000F7D99" w:rsidRDefault="000F7D99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rFonts w:eastAsiaTheme="minorHAnsi"/>
          <w:color w:val="000000"/>
          <w:lang w:val="lv-LV"/>
        </w:rPr>
      </w:pPr>
      <w:r>
        <w:rPr>
          <w:rFonts w:eastAsiaTheme="minorHAnsi"/>
          <w:color w:val="000000"/>
          <w:lang w:val="lv-LV"/>
        </w:rPr>
        <w:t>j) pārējie darbības ienākumi.</w:t>
      </w:r>
    </w:p>
    <w:p w14:paraId="74D90F1C" w14:textId="462598C9" w:rsidR="000E4A2D" w:rsidRDefault="000E4A2D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rFonts w:eastAsiaTheme="minorHAnsi"/>
          <w:color w:val="000000"/>
          <w:lang w:val="lv-LV"/>
        </w:rPr>
      </w:pPr>
    </w:p>
    <w:p w14:paraId="2B633B5A" w14:textId="65BF4E0F" w:rsidR="000E4A2D" w:rsidRPr="00E82585" w:rsidRDefault="005A071A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b/>
          <w:bCs/>
          <w:u w:val="single"/>
          <w:lang w:val="lv-LV"/>
        </w:rPr>
      </w:pPr>
      <w:r>
        <w:rPr>
          <w:rFonts w:eastAsiaTheme="minorHAnsi"/>
          <w:b/>
          <w:bCs/>
          <w:color w:val="000000"/>
          <w:u w:val="single"/>
          <w:lang w:val="lv-LV"/>
        </w:rPr>
        <w:t>3. </w:t>
      </w:r>
      <w:r w:rsidR="0055113C">
        <w:rPr>
          <w:rFonts w:eastAsiaTheme="minorHAnsi"/>
          <w:b/>
          <w:bCs/>
          <w:color w:val="000000"/>
          <w:u w:val="single"/>
          <w:lang w:val="lv-LV"/>
        </w:rPr>
        <w:t>F</w:t>
      </w:r>
      <w:r w:rsidR="000E4A2D" w:rsidRPr="00E82585">
        <w:rPr>
          <w:rFonts w:eastAsiaTheme="minorHAnsi"/>
          <w:b/>
          <w:bCs/>
          <w:color w:val="000000"/>
          <w:u w:val="single"/>
          <w:lang w:val="lv-LV"/>
        </w:rPr>
        <w:t>izisk</w:t>
      </w:r>
      <w:r w:rsidR="0055113C">
        <w:rPr>
          <w:rFonts w:eastAsiaTheme="minorHAnsi"/>
          <w:b/>
          <w:bCs/>
          <w:color w:val="000000"/>
          <w:u w:val="single"/>
          <w:lang w:val="lv-LV"/>
        </w:rPr>
        <w:t>ā</w:t>
      </w:r>
      <w:r w:rsidR="000E4A2D" w:rsidRPr="00E82585">
        <w:rPr>
          <w:rFonts w:eastAsiaTheme="minorHAnsi"/>
          <w:b/>
          <w:bCs/>
          <w:color w:val="000000"/>
          <w:u w:val="single"/>
          <w:lang w:val="lv-LV"/>
        </w:rPr>
        <w:t>s personas gada ienākumi</w:t>
      </w:r>
    </w:p>
    <w:p w14:paraId="53BFD9D6" w14:textId="77227834" w:rsidR="000E4A2D" w:rsidRPr="000E4A2D" w:rsidRDefault="002A0163" w:rsidP="00016A80">
      <w:pPr>
        <w:pStyle w:val="ListParagraph"/>
        <w:tabs>
          <w:tab w:val="left" w:pos="142"/>
          <w:tab w:val="left" w:pos="284"/>
          <w:tab w:val="left" w:pos="426"/>
        </w:tabs>
        <w:spacing w:after="200"/>
        <w:ind w:left="0"/>
        <w:contextualSpacing/>
        <w:jc w:val="both"/>
        <w:rPr>
          <w:lang w:val="lv-LV"/>
        </w:rPr>
      </w:pPr>
      <w:r w:rsidRPr="00C36976">
        <w:rPr>
          <w:noProof/>
          <w:lang w:val="de-DE"/>
        </w:rPr>
        <w:t xml:space="preserve">Aprēķinot soda naudas apmēru, par pamatu </w:t>
      </w:r>
      <w:r>
        <w:rPr>
          <w:noProof/>
          <w:lang w:val="de-DE"/>
        </w:rPr>
        <w:t xml:space="preserve">tiek ņemta </w:t>
      </w:r>
      <w:r>
        <w:rPr>
          <w:noProof/>
          <w:lang w:val="lv-LV"/>
        </w:rPr>
        <w:t>fiziskās</w:t>
      </w:r>
      <w:r w:rsidR="000E4A2D" w:rsidRPr="000E4A2D">
        <w:rPr>
          <w:lang w:val="lv-LV"/>
        </w:rPr>
        <w:t xml:space="preserve"> personas iesniegt</w:t>
      </w:r>
      <w:r w:rsidR="000E4A2D">
        <w:rPr>
          <w:lang w:val="lv-LV"/>
        </w:rPr>
        <w:t>ā</w:t>
      </w:r>
      <w:r w:rsidR="000E4A2D" w:rsidRPr="000E4A2D">
        <w:rPr>
          <w:lang w:val="lv-LV"/>
        </w:rPr>
        <w:t xml:space="preserve"> informācij</w:t>
      </w:r>
      <w:r w:rsidR="00146A82">
        <w:rPr>
          <w:lang w:val="lv-LV"/>
        </w:rPr>
        <w:t>a</w:t>
      </w:r>
      <w:r w:rsidR="000E4A2D" w:rsidRPr="000E4A2D">
        <w:rPr>
          <w:lang w:val="lv-LV"/>
        </w:rPr>
        <w:t xml:space="preserve"> par </w:t>
      </w:r>
      <w:r>
        <w:rPr>
          <w:lang w:val="lv-LV"/>
        </w:rPr>
        <w:t xml:space="preserve">tās </w:t>
      </w:r>
      <w:r w:rsidR="000E4A2D" w:rsidRPr="000E4A2D">
        <w:rPr>
          <w:lang w:val="lv-LV"/>
        </w:rPr>
        <w:t>gada ienākumiem</w:t>
      </w:r>
      <w:bookmarkStart w:id="1" w:name="_Hlk104880675"/>
      <w:r w:rsidR="00677E2B">
        <w:rPr>
          <w:lang w:val="lv-LV"/>
        </w:rPr>
        <w:t>, izņemot vienreizējus ienākumus (mantojums, dāvinājums, īpašuma pārdošana) vai pabalstus</w:t>
      </w:r>
      <w:bookmarkEnd w:id="1"/>
      <w:r w:rsidR="000E4A2D" w:rsidRPr="000E4A2D">
        <w:rPr>
          <w:lang w:val="lv-LV"/>
        </w:rPr>
        <w:t>.</w:t>
      </w:r>
    </w:p>
    <w:sectPr w:rsidR="000E4A2D" w:rsidRPr="000E4A2D" w:rsidSect="00C20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4615" w14:textId="77777777" w:rsidR="00E76C7E" w:rsidRDefault="00E76C7E">
      <w:r>
        <w:separator/>
      </w:r>
    </w:p>
  </w:endnote>
  <w:endnote w:type="continuationSeparator" w:id="0">
    <w:p w14:paraId="18E37AE7" w14:textId="77777777" w:rsidR="00E76C7E" w:rsidRDefault="00E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3081" w14:textId="77777777" w:rsidR="008D1D82" w:rsidRDefault="008A5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EA212" w14:textId="77777777" w:rsidR="008D1D82" w:rsidRDefault="00E76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95C" w14:textId="77777777" w:rsidR="008D1D82" w:rsidRDefault="00E76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FA9E" w14:textId="77777777" w:rsidR="00E76C7E" w:rsidRDefault="00E76C7E">
      <w:r>
        <w:separator/>
      </w:r>
    </w:p>
  </w:footnote>
  <w:footnote w:type="continuationSeparator" w:id="0">
    <w:p w14:paraId="5B1225A9" w14:textId="77777777" w:rsidR="00E76C7E" w:rsidRDefault="00E7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8A9D" w14:textId="77777777" w:rsidR="008D1D82" w:rsidRDefault="008A5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E6294" w14:textId="77777777" w:rsidR="008D1D82" w:rsidRDefault="00E76C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7F2" w14:textId="77777777" w:rsidR="008D1D82" w:rsidRDefault="008A545B" w:rsidP="00016A8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7105" w14:textId="0543E779" w:rsidR="008D1D82" w:rsidRDefault="00E76C7E">
    <w:pPr>
      <w:pStyle w:val="Header"/>
      <w:jc w:val="center"/>
    </w:pPr>
  </w:p>
  <w:p w14:paraId="58758EAD" w14:textId="77777777" w:rsidR="008D1D82" w:rsidRDefault="00E76C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2A0"/>
    <w:multiLevelType w:val="hybridMultilevel"/>
    <w:tmpl w:val="B87E63E6"/>
    <w:lvl w:ilvl="0" w:tplc="A81606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6505C"/>
    <w:multiLevelType w:val="hybridMultilevel"/>
    <w:tmpl w:val="C6E27464"/>
    <w:lvl w:ilvl="0" w:tplc="6F4648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B6A22"/>
    <w:multiLevelType w:val="multilevel"/>
    <w:tmpl w:val="D94CF0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752F10"/>
    <w:multiLevelType w:val="multilevel"/>
    <w:tmpl w:val="32A4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6F7FAE"/>
    <w:multiLevelType w:val="hybridMultilevel"/>
    <w:tmpl w:val="DE9A44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20A5"/>
    <w:multiLevelType w:val="hybridMultilevel"/>
    <w:tmpl w:val="27AAFA9E"/>
    <w:lvl w:ilvl="0" w:tplc="83502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6390329">
    <w:abstractNumId w:val="4"/>
  </w:num>
  <w:num w:numId="2" w16cid:durableId="1214121971">
    <w:abstractNumId w:val="1"/>
  </w:num>
  <w:num w:numId="3" w16cid:durableId="325398368">
    <w:abstractNumId w:val="5"/>
  </w:num>
  <w:num w:numId="4" w16cid:durableId="1509446814">
    <w:abstractNumId w:val="0"/>
  </w:num>
  <w:num w:numId="5" w16cid:durableId="1383869566">
    <w:abstractNumId w:val="3"/>
  </w:num>
  <w:num w:numId="6" w16cid:durableId="181082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B"/>
    <w:rsid w:val="00012BD5"/>
    <w:rsid w:val="00016A80"/>
    <w:rsid w:val="0004638E"/>
    <w:rsid w:val="00062D59"/>
    <w:rsid w:val="000E4A2D"/>
    <w:rsid w:val="000F7D99"/>
    <w:rsid w:val="00111938"/>
    <w:rsid w:val="00113AFC"/>
    <w:rsid w:val="00146A82"/>
    <w:rsid w:val="001E7E80"/>
    <w:rsid w:val="002A0163"/>
    <w:rsid w:val="002C5618"/>
    <w:rsid w:val="002E75CE"/>
    <w:rsid w:val="00370B70"/>
    <w:rsid w:val="003E09BC"/>
    <w:rsid w:val="003E6A65"/>
    <w:rsid w:val="00437AC1"/>
    <w:rsid w:val="004761F3"/>
    <w:rsid w:val="0055113C"/>
    <w:rsid w:val="005A071A"/>
    <w:rsid w:val="00602EE5"/>
    <w:rsid w:val="00671766"/>
    <w:rsid w:val="00677E2B"/>
    <w:rsid w:val="00876992"/>
    <w:rsid w:val="008A1125"/>
    <w:rsid w:val="008A545B"/>
    <w:rsid w:val="00A45558"/>
    <w:rsid w:val="00AB0373"/>
    <w:rsid w:val="00B539F9"/>
    <w:rsid w:val="00C06BAC"/>
    <w:rsid w:val="00C160EF"/>
    <w:rsid w:val="00D3710B"/>
    <w:rsid w:val="00D87560"/>
    <w:rsid w:val="00E042B9"/>
    <w:rsid w:val="00E22A97"/>
    <w:rsid w:val="00E707FE"/>
    <w:rsid w:val="00E76C7E"/>
    <w:rsid w:val="00E82585"/>
    <w:rsid w:val="00E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AF519"/>
  <w15:chartTrackingRefBased/>
  <w15:docId w15:val="{58A1EAF8-65BC-450E-B5B7-239E72B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45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A545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8A545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A545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basedOn w:val="DefaultParagraphFont"/>
    <w:semiHidden/>
    <w:rsid w:val="008A545B"/>
  </w:style>
  <w:style w:type="paragraph" w:styleId="ListParagraph">
    <w:name w:val="List Paragraph"/>
    <w:basedOn w:val="Normal"/>
    <w:uiPriority w:val="34"/>
    <w:qFormat/>
    <w:rsid w:val="008A54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4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8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3/575/oj/?locale=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4347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Lenss</dc:creator>
  <cp:keywords/>
  <dc:description/>
  <cp:lastModifiedBy>Linda Egle</cp:lastModifiedBy>
  <cp:revision>3</cp:revision>
  <dcterms:created xsi:type="dcterms:W3CDTF">2022-07-05T04:17:00Z</dcterms:created>
  <dcterms:modified xsi:type="dcterms:W3CDTF">2022-07-05T08:28:00Z</dcterms:modified>
</cp:coreProperties>
</file>