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DFEB" w14:textId="48471B5F" w:rsidR="001E2E2A" w:rsidRPr="00F0568C" w:rsidRDefault="001E2E2A" w:rsidP="001E2E2A">
      <w:pPr>
        <w:pStyle w:val="Datums"/>
        <w:spacing w:before="0"/>
        <w:rPr>
          <w:b/>
          <w:bCs/>
          <w:szCs w:val="24"/>
          <w:lang w:val="lv-LV"/>
        </w:rPr>
      </w:pPr>
      <w:r w:rsidRPr="00F0568C">
        <w:rPr>
          <w:szCs w:val="24"/>
          <w:lang w:val="lv-LV"/>
        </w:rPr>
        <w:t xml:space="preserve">Rīgā </w:t>
      </w:r>
      <w:r w:rsidR="00945B1B" w:rsidRPr="00F0568C">
        <w:rPr>
          <w:szCs w:val="24"/>
          <w:lang w:val="lv-LV"/>
        </w:rPr>
        <w:t>30</w:t>
      </w:r>
      <w:r w:rsidR="00A24BE0" w:rsidRPr="00F0568C">
        <w:rPr>
          <w:szCs w:val="24"/>
          <w:lang w:val="lv-LV"/>
        </w:rPr>
        <w:t>.0</w:t>
      </w:r>
      <w:r w:rsidR="00945B1B" w:rsidRPr="00F0568C">
        <w:rPr>
          <w:szCs w:val="24"/>
          <w:lang w:val="lv-LV"/>
        </w:rPr>
        <w:t>9</w:t>
      </w:r>
      <w:r w:rsidR="00A24BE0" w:rsidRPr="00F0568C">
        <w:rPr>
          <w:szCs w:val="24"/>
          <w:lang w:val="lv-LV"/>
        </w:rPr>
        <w:t>.2021.</w:t>
      </w:r>
    </w:p>
    <w:p w14:paraId="07432898" w14:textId="77777777" w:rsidR="001E2E2A" w:rsidRPr="00F0568C" w:rsidRDefault="001E2E2A" w:rsidP="001E2E2A">
      <w:pPr>
        <w:rPr>
          <w:sz w:val="22"/>
          <w:szCs w:val="22"/>
        </w:rPr>
      </w:pPr>
    </w:p>
    <w:p w14:paraId="45FEDB0D" w14:textId="58AA628F" w:rsidR="00A93ED8" w:rsidRPr="00F0568C" w:rsidRDefault="00326358" w:rsidP="002D2594">
      <w:pPr>
        <w:shd w:val="clear" w:color="auto" w:fill="FFFFFF"/>
        <w:rPr>
          <w:sz w:val="28"/>
          <w:szCs w:val="28"/>
        </w:rPr>
      </w:pPr>
      <w:r w:rsidRPr="00F0568C">
        <w:rPr>
          <w:sz w:val="28"/>
          <w:szCs w:val="28"/>
        </w:rPr>
        <w:t xml:space="preserve">Par </w:t>
      </w:r>
      <w:r w:rsidR="001E2E2A" w:rsidRPr="00F0568C">
        <w:rPr>
          <w:sz w:val="28"/>
          <w:szCs w:val="28"/>
        </w:rPr>
        <w:t xml:space="preserve">Eiropas Vērtspapīru </w:t>
      </w:r>
      <w:r w:rsidR="00EB3443" w:rsidRPr="00F0568C">
        <w:rPr>
          <w:sz w:val="28"/>
          <w:szCs w:val="28"/>
        </w:rPr>
        <w:t xml:space="preserve">un </w:t>
      </w:r>
      <w:r w:rsidR="001E2E2A" w:rsidRPr="00F0568C">
        <w:rPr>
          <w:sz w:val="28"/>
          <w:szCs w:val="28"/>
        </w:rPr>
        <w:t xml:space="preserve">tirgu iestādes pamatnostādņu </w:t>
      </w:r>
      <w:r w:rsidR="00B50744" w:rsidRPr="00F0568C">
        <w:rPr>
          <w:sz w:val="28"/>
          <w:szCs w:val="28"/>
        </w:rPr>
        <w:br/>
      </w:r>
      <w:r w:rsidR="00945B1B" w:rsidRPr="00F0568C">
        <w:rPr>
          <w:sz w:val="28"/>
          <w:szCs w:val="28"/>
        </w:rPr>
        <w:t>"Pamatnostādnes par tirgvedības paziņojumiem saskaņā ar Regulu par fondu pārrobežu izplatīšanu"</w:t>
      </w:r>
      <w:r w:rsidRPr="00F0568C">
        <w:rPr>
          <w:sz w:val="28"/>
          <w:szCs w:val="28"/>
        </w:rPr>
        <w:t xml:space="preserve"> </w:t>
      </w:r>
      <w:r w:rsidR="00A93ED8" w:rsidRPr="00F0568C">
        <w:rPr>
          <w:sz w:val="28"/>
          <w:szCs w:val="28"/>
        </w:rPr>
        <w:t>piemērošanu</w:t>
      </w:r>
    </w:p>
    <w:p w14:paraId="022471B4" w14:textId="77777777" w:rsidR="00200D0D" w:rsidRPr="00F0568C" w:rsidRDefault="00200D0D" w:rsidP="001E2E2A">
      <w:pPr>
        <w:pStyle w:val="BodyText"/>
        <w:tabs>
          <w:tab w:val="left" w:pos="284"/>
        </w:tabs>
        <w:jc w:val="both"/>
        <w:rPr>
          <w:b/>
          <w:sz w:val="28"/>
          <w:szCs w:val="28"/>
        </w:rPr>
      </w:pPr>
    </w:p>
    <w:p w14:paraId="4B2AAD5A" w14:textId="77777777" w:rsidR="001E2E2A" w:rsidRPr="00F0568C" w:rsidRDefault="001E2E2A" w:rsidP="001E2E2A">
      <w:pPr>
        <w:pStyle w:val="BodyText"/>
        <w:tabs>
          <w:tab w:val="left" w:pos="284"/>
        </w:tabs>
        <w:jc w:val="both"/>
        <w:rPr>
          <w:b/>
          <w:sz w:val="28"/>
          <w:szCs w:val="28"/>
        </w:rPr>
      </w:pPr>
      <w:r w:rsidRPr="00F0568C">
        <w:rPr>
          <w:b/>
          <w:sz w:val="28"/>
          <w:szCs w:val="28"/>
        </w:rPr>
        <w:t>PAZIŅOJUMS</w:t>
      </w:r>
      <w:r w:rsidR="00326358" w:rsidRPr="00F0568C">
        <w:rPr>
          <w:b/>
          <w:sz w:val="28"/>
          <w:szCs w:val="28"/>
        </w:rPr>
        <w:t xml:space="preserve"> PAR PAMATNOSTĀDŅU PIEMĒROŠAN</w:t>
      </w:r>
      <w:r w:rsidR="00066E42" w:rsidRPr="00F0568C">
        <w:rPr>
          <w:b/>
          <w:sz w:val="28"/>
          <w:szCs w:val="28"/>
        </w:rPr>
        <w:t>U</w:t>
      </w:r>
    </w:p>
    <w:tbl>
      <w:tblPr>
        <w:tblStyle w:val="TableGrid"/>
        <w:tblW w:w="0" w:type="auto"/>
        <w:tblLook w:val="04A0" w:firstRow="1" w:lastRow="0" w:firstColumn="1" w:lastColumn="0" w:noHBand="0" w:noVBand="1"/>
      </w:tblPr>
      <w:tblGrid>
        <w:gridCol w:w="902"/>
        <w:gridCol w:w="8448"/>
      </w:tblGrid>
      <w:tr w:rsidR="00445CC1" w:rsidRPr="00F0568C" w14:paraId="5AB27B69" w14:textId="77777777" w:rsidTr="00F92267">
        <w:tc>
          <w:tcPr>
            <w:tcW w:w="937" w:type="dxa"/>
          </w:tcPr>
          <w:p w14:paraId="3F4940EC" w14:textId="77777777" w:rsidR="00445CC1" w:rsidRPr="00F0568C" w:rsidRDefault="00445CC1" w:rsidP="00445CC1">
            <w:pPr>
              <w:jc w:val="center"/>
            </w:pPr>
            <w:r w:rsidRPr="00F0568C">
              <w:t>1.</w:t>
            </w:r>
          </w:p>
        </w:tc>
        <w:tc>
          <w:tcPr>
            <w:tcW w:w="8639" w:type="dxa"/>
          </w:tcPr>
          <w:p w14:paraId="784C6570" w14:textId="77777777" w:rsidR="00445CC1" w:rsidRPr="00F0568C" w:rsidRDefault="00445CC1" w:rsidP="00F92267">
            <w:pPr>
              <w:keepNext/>
              <w:keepLines/>
              <w:jc w:val="both"/>
              <w:rPr>
                <w:b/>
              </w:rPr>
            </w:pPr>
            <w:r w:rsidRPr="00F0568C">
              <w:rPr>
                <w:b/>
              </w:rPr>
              <w:t>Pamatnostādņu adresāti</w:t>
            </w:r>
          </w:p>
          <w:p w14:paraId="25DC735F" w14:textId="77777777" w:rsidR="00445CC1" w:rsidRPr="00F0568C" w:rsidRDefault="00445CC1" w:rsidP="00F92267">
            <w:pPr>
              <w:keepNext/>
              <w:keepLines/>
              <w:jc w:val="both"/>
            </w:pPr>
          </w:p>
          <w:p w14:paraId="1542DCC1" w14:textId="227C564B" w:rsidR="008836EB" w:rsidRPr="00F0568C" w:rsidRDefault="00445CC1" w:rsidP="00411501">
            <w:pPr>
              <w:pStyle w:val="Default"/>
              <w:keepNext/>
              <w:keepLines/>
              <w:jc w:val="both"/>
              <w:rPr>
                <w:rFonts w:eastAsiaTheme="minorHAnsi"/>
              </w:rPr>
            </w:pPr>
            <w:r w:rsidRPr="00F0568C">
              <w:t xml:space="preserve">Eiropas Vērtspapīru un tirgu iestādes </w:t>
            </w:r>
            <w:r w:rsidR="00FC3E13" w:rsidRPr="00F0568C">
              <w:t xml:space="preserve">(turpmāk – ESMA) </w:t>
            </w:r>
            <w:r w:rsidR="00413323" w:rsidRPr="00F0568C">
              <w:t>pamatnostādnes Nr. ESMA</w:t>
            </w:r>
            <w:r w:rsidR="001A35D7" w:rsidRPr="00F0568C">
              <w:t>34</w:t>
            </w:r>
            <w:r w:rsidR="00413323" w:rsidRPr="00F0568C">
              <w:t>-</w:t>
            </w:r>
            <w:r w:rsidR="001A35D7" w:rsidRPr="00F0568C">
              <w:t>45</w:t>
            </w:r>
            <w:r w:rsidR="00413323" w:rsidRPr="00F0568C">
              <w:t>-</w:t>
            </w:r>
            <w:r w:rsidR="001A35D7" w:rsidRPr="00F0568C">
              <w:t>1272</w:t>
            </w:r>
            <w:r w:rsidR="00413323" w:rsidRPr="00F0568C">
              <w:t xml:space="preserve"> </w:t>
            </w:r>
            <w:r w:rsidR="001A35D7" w:rsidRPr="00F0568C">
              <w:t>"Pamatnostādnes par tirgvedības paziņojumiem saskaņā ar Regulu par fondu pārrobežu izplatīšanu"</w:t>
            </w:r>
            <w:r w:rsidR="001A35D7" w:rsidRPr="00F0568C">
              <w:rPr>
                <w:sz w:val="28"/>
                <w:szCs w:val="28"/>
              </w:rPr>
              <w:t xml:space="preserve"> </w:t>
            </w:r>
            <w:r w:rsidR="00D451AA" w:rsidRPr="00F0568C">
              <w:t>(turpmāk – Pamatnostādnes)</w:t>
            </w:r>
            <w:r w:rsidRPr="00F0568C">
              <w:t xml:space="preserve"> attiecas uz</w:t>
            </w:r>
            <w:r w:rsidR="001A35D7" w:rsidRPr="00F0568C">
              <w:t xml:space="preserve"> ieguldījumu pārvaldes sabiedrībām, </w:t>
            </w:r>
            <w:r w:rsidR="00A93ED8" w:rsidRPr="00F0568C">
              <w:t xml:space="preserve">licencētiem </w:t>
            </w:r>
            <w:r w:rsidR="001A35D7" w:rsidRPr="00F0568C">
              <w:t>alternatīvo ieguldījumu fondu pārvaldniekiem, EuVECA pārvaldniekiem un EuSEF pārvaldniekiem</w:t>
            </w:r>
            <w:r w:rsidR="00A93ED8" w:rsidRPr="00F0568C">
              <w:t xml:space="preserve">. </w:t>
            </w:r>
          </w:p>
          <w:p w14:paraId="411B9867" w14:textId="7A6C47C9" w:rsidR="00300B97" w:rsidRPr="00F0568C" w:rsidRDefault="00300B97" w:rsidP="00411501">
            <w:pPr>
              <w:pStyle w:val="Default"/>
              <w:keepNext/>
              <w:keepLines/>
              <w:jc w:val="both"/>
            </w:pPr>
          </w:p>
        </w:tc>
      </w:tr>
      <w:tr w:rsidR="001E2E2A" w:rsidRPr="00F0568C" w14:paraId="3B4FD60A" w14:textId="77777777" w:rsidTr="001E2E2A">
        <w:tc>
          <w:tcPr>
            <w:tcW w:w="937" w:type="dxa"/>
          </w:tcPr>
          <w:p w14:paraId="0C355CBD" w14:textId="77777777" w:rsidR="001E2E2A" w:rsidRPr="00F0568C" w:rsidRDefault="00445CC1" w:rsidP="00F92267">
            <w:pPr>
              <w:jc w:val="center"/>
            </w:pPr>
            <w:r w:rsidRPr="00F0568C">
              <w:t>2</w:t>
            </w:r>
            <w:r w:rsidR="001E2E2A" w:rsidRPr="00F0568C">
              <w:t>.</w:t>
            </w:r>
          </w:p>
        </w:tc>
        <w:tc>
          <w:tcPr>
            <w:tcW w:w="8639" w:type="dxa"/>
          </w:tcPr>
          <w:p w14:paraId="76338038" w14:textId="77777777" w:rsidR="001E2E2A" w:rsidRPr="00F0568C" w:rsidRDefault="00406A93" w:rsidP="00F92267">
            <w:pPr>
              <w:rPr>
                <w:b/>
              </w:rPr>
            </w:pPr>
            <w:r w:rsidRPr="00F0568C">
              <w:rPr>
                <w:b/>
              </w:rPr>
              <w:t xml:space="preserve">Tiesību aktu </w:t>
            </w:r>
            <w:r w:rsidR="001E2E2A" w:rsidRPr="00F0568C">
              <w:rPr>
                <w:b/>
              </w:rPr>
              <w:t>prasība</w:t>
            </w:r>
            <w:r w:rsidRPr="00F0568C">
              <w:rPr>
                <w:b/>
              </w:rPr>
              <w:t>s</w:t>
            </w:r>
            <w:r w:rsidR="001E2E2A" w:rsidRPr="00F0568C">
              <w:rPr>
                <w:b/>
              </w:rPr>
              <w:t>, kur</w:t>
            </w:r>
            <w:r w:rsidRPr="00F0568C">
              <w:rPr>
                <w:b/>
              </w:rPr>
              <w:t>u</w:t>
            </w:r>
            <w:r w:rsidR="001E2E2A" w:rsidRPr="00F0568C">
              <w:rPr>
                <w:b/>
              </w:rPr>
              <w:t xml:space="preserve"> izpildei ir jāievēro </w:t>
            </w:r>
            <w:r w:rsidR="00FC3E13" w:rsidRPr="00F0568C">
              <w:rPr>
                <w:b/>
              </w:rPr>
              <w:t>P</w:t>
            </w:r>
            <w:r w:rsidR="001E2E2A" w:rsidRPr="00F0568C">
              <w:rPr>
                <w:b/>
              </w:rPr>
              <w:t>amatnostādnes</w:t>
            </w:r>
          </w:p>
          <w:p w14:paraId="261CAEC7" w14:textId="77777777" w:rsidR="003750C3" w:rsidRPr="00F0568C" w:rsidRDefault="003750C3" w:rsidP="007156C3">
            <w:pPr>
              <w:pStyle w:val="tv213"/>
              <w:spacing w:before="0" w:beforeAutospacing="0" w:after="0" w:afterAutospacing="0"/>
              <w:jc w:val="both"/>
              <w:rPr>
                <w:color w:val="000000"/>
                <w:shd w:val="clear" w:color="auto" w:fill="FFFFFF"/>
                <w:lang w:val="lv-LV"/>
              </w:rPr>
            </w:pPr>
          </w:p>
          <w:p w14:paraId="1CAF2956" w14:textId="5B3EF87D" w:rsidR="001E2E2A" w:rsidRPr="00F0568C" w:rsidRDefault="003750C3" w:rsidP="007156C3">
            <w:pPr>
              <w:pStyle w:val="tv213"/>
              <w:spacing w:before="0" w:beforeAutospacing="0" w:after="0" w:afterAutospacing="0"/>
              <w:jc w:val="both"/>
              <w:rPr>
                <w:lang w:val="lv-LV"/>
              </w:rPr>
            </w:pPr>
            <w:r w:rsidRPr="00F0568C">
              <w:rPr>
                <w:lang w:val="lv-LV"/>
              </w:rPr>
              <w:t xml:space="preserve">Eiropas Parlamenta un Padomes </w:t>
            </w:r>
            <w:r w:rsidR="00F0568C">
              <w:rPr>
                <w:lang w:val="lv-LV"/>
              </w:rPr>
              <w:t xml:space="preserve">Regula </w:t>
            </w:r>
            <w:r w:rsidRPr="00F0568C">
              <w:rPr>
                <w:lang w:val="lv-LV"/>
              </w:rPr>
              <w:t xml:space="preserve">(ES) </w:t>
            </w:r>
            <w:r w:rsidR="00945B1B" w:rsidRPr="00F0568C">
              <w:rPr>
                <w:lang w:val="lv-LV"/>
              </w:rPr>
              <w:t xml:space="preserve">2019/1156 (2019. gada 20. jūnijs) par kolektīvo ieguldījumu uzņēmumu pārrobežu izplatīšanas atvieglošanu un ar kuru groza Regulas (ES) Nr. 345/2013, (ES) Nr. 346/2013 un (ES) Nr. 1286/2014. </w:t>
            </w:r>
          </w:p>
          <w:p w14:paraId="2BCB8F93" w14:textId="1AADE822" w:rsidR="00945B1B" w:rsidRPr="00F0568C" w:rsidRDefault="00945B1B" w:rsidP="007156C3">
            <w:pPr>
              <w:pStyle w:val="tv213"/>
              <w:spacing w:before="0" w:beforeAutospacing="0" w:after="0" w:afterAutospacing="0"/>
              <w:jc w:val="both"/>
              <w:rPr>
                <w:sz w:val="22"/>
                <w:szCs w:val="22"/>
                <w:lang w:val="lv-LV"/>
              </w:rPr>
            </w:pPr>
          </w:p>
        </w:tc>
      </w:tr>
      <w:tr w:rsidR="001E2E2A" w:rsidRPr="00F0568C" w14:paraId="714E8647" w14:textId="77777777" w:rsidTr="001E2E2A">
        <w:tc>
          <w:tcPr>
            <w:tcW w:w="937" w:type="dxa"/>
          </w:tcPr>
          <w:p w14:paraId="00D31D18" w14:textId="77777777" w:rsidR="001E2E2A" w:rsidRPr="00F0568C" w:rsidRDefault="00D451AA" w:rsidP="00F92267">
            <w:pPr>
              <w:jc w:val="center"/>
            </w:pPr>
            <w:r w:rsidRPr="00F0568C">
              <w:t>3</w:t>
            </w:r>
            <w:r w:rsidR="001E2E2A" w:rsidRPr="00F0568C">
              <w:t>.</w:t>
            </w:r>
          </w:p>
        </w:tc>
        <w:tc>
          <w:tcPr>
            <w:tcW w:w="8639" w:type="dxa"/>
          </w:tcPr>
          <w:p w14:paraId="3E0FE4EE" w14:textId="77777777" w:rsidR="001E2E2A" w:rsidRPr="00F0568C" w:rsidRDefault="001E2E2A" w:rsidP="00F92267">
            <w:pPr>
              <w:rPr>
                <w:b/>
              </w:rPr>
            </w:pPr>
            <w:r w:rsidRPr="00F0568C">
              <w:rPr>
                <w:b/>
              </w:rPr>
              <w:t>Pamatnostādņu mērķis un būtība</w:t>
            </w:r>
          </w:p>
          <w:p w14:paraId="02CE55AF" w14:textId="77777777" w:rsidR="001E2E2A" w:rsidRPr="00F0568C" w:rsidRDefault="001E2E2A" w:rsidP="00F92267">
            <w:pPr>
              <w:tabs>
                <w:tab w:val="left" w:pos="0"/>
              </w:tabs>
              <w:jc w:val="both"/>
            </w:pPr>
          </w:p>
          <w:p w14:paraId="31930C60" w14:textId="2DBDC43E" w:rsidR="001E2E2A" w:rsidRPr="00F0568C" w:rsidRDefault="00513B57" w:rsidP="00513B57">
            <w:pPr>
              <w:pStyle w:val="Teksts1"/>
            </w:pPr>
            <w:r w:rsidRPr="00F0568C">
              <w:t>Pamatnostādņu mērķis ir saskaņā ar Regulas 2019/1156 4. panta 6. punktu noteikt tās 4. panta 1. punktā minēto prasību piemērošanu tirgvedības paziņojumiem. Pamatnostādnēs ir noteikti kopīgie principi par tirgvedības paziņojumiem, lai tie būtu identificējami kā tādi, kā arī lai tajos būtu aprakstīti alternatīvo ieguldījumu fondu</w:t>
            </w:r>
            <w:r w:rsidR="00F0568C" w:rsidRPr="00F0568C">
              <w:t xml:space="preserve"> </w:t>
            </w:r>
            <w:r w:rsidRPr="00F0568C">
              <w:t>apliecību un daļu un ieguldījumu fondu apliecību iegādes riski un ieguvumi vienlīdz nozīmīgā veidā un lai tirgvedības paziņojumi būtu godīgi, skaidri un nemaldinoši, ņemot vērā šādu tirgvedības paziņojumu tiešsaistes aspektus. Tomēr Pamatnostādnes neaizstāj esošās valstu prasības par informāciju, kas jāiekļauj tirgvedības paziņojumos, ciktāl tās ir saderīgas ar esošajiem saskaņotajiem ES noteikumiem.</w:t>
            </w:r>
          </w:p>
        </w:tc>
      </w:tr>
      <w:tr w:rsidR="001E2E2A" w:rsidRPr="00F0568C" w14:paraId="01034C67" w14:textId="77777777" w:rsidTr="001E2E2A">
        <w:tc>
          <w:tcPr>
            <w:tcW w:w="937" w:type="dxa"/>
          </w:tcPr>
          <w:p w14:paraId="6C8255F7" w14:textId="77777777" w:rsidR="001E2E2A" w:rsidRPr="00F0568C" w:rsidRDefault="001E2E2A" w:rsidP="00F92267">
            <w:pPr>
              <w:jc w:val="center"/>
            </w:pPr>
            <w:r w:rsidRPr="00F0568C">
              <w:t>4.</w:t>
            </w:r>
          </w:p>
        </w:tc>
        <w:tc>
          <w:tcPr>
            <w:tcW w:w="8639" w:type="dxa"/>
          </w:tcPr>
          <w:p w14:paraId="5F28CE74" w14:textId="77777777" w:rsidR="001E2E2A" w:rsidRPr="00F0568C" w:rsidRDefault="00132582" w:rsidP="00F92267">
            <w:pPr>
              <w:rPr>
                <w:b/>
              </w:rPr>
            </w:pPr>
            <w:r w:rsidRPr="00F0568C">
              <w:rPr>
                <w:b/>
              </w:rPr>
              <w:t xml:space="preserve">Atsauce uz Pamatnostādņu tekstu </w:t>
            </w:r>
          </w:p>
          <w:p w14:paraId="3B851D5F" w14:textId="77777777" w:rsidR="001E2E2A" w:rsidRPr="00F0568C" w:rsidRDefault="001E2E2A" w:rsidP="00F92267">
            <w:pPr>
              <w:rPr>
                <w:sz w:val="22"/>
                <w:szCs w:val="22"/>
              </w:rPr>
            </w:pPr>
          </w:p>
          <w:p w14:paraId="7CC48832" w14:textId="726067C8" w:rsidR="001E2E2A" w:rsidRPr="00F0568C" w:rsidRDefault="00132582" w:rsidP="00132582">
            <w:pPr>
              <w:pStyle w:val="Default"/>
              <w:jc w:val="both"/>
              <w:rPr>
                <w:rFonts w:eastAsia="Times New Roman"/>
                <w:color w:val="auto"/>
                <w:lang w:eastAsia="en-US"/>
              </w:rPr>
            </w:pPr>
            <w:r w:rsidRPr="00F0568C">
              <w:rPr>
                <w:rFonts w:eastAsia="Times New Roman"/>
                <w:color w:val="auto"/>
                <w:lang w:eastAsia="en-US"/>
              </w:rPr>
              <w:t xml:space="preserve">Pamatnostādņu teksts ir pieejams </w:t>
            </w:r>
            <w:r w:rsidR="005F2F0E" w:rsidRPr="00F0568C">
              <w:rPr>
                <w:rFonts w:eastAsia="Times New Roman"/>
                <w:color w:val="auto"/>
                <w:lang w:eastAsia="en-US"/>
              </w:rPr>
              <w:t>EVTI</w:t>
            </w:r>
            <w:r w:rsidRPr="00F0568C">
              <w:rPr>
                <w:rFonts w:eastAsia="Times New Roman"/>
                <w:color w:val="auto"/>
                <w:lang w:eastAsia="en-US"/>
              </w:rPr>
              <w:t xml:space="preserve"> mājaslapā:</w:t>
            </w:r>
          </w:p>
          <w:p w14:paraId="2A30E4E2" w14:textId="77777777" w:rsidR="007156C3" w:rsidRPr="00F0568C" w:rsidRDefault="00F0568C" w:rsidP="00865D59">
            <w:pPr>
              <w:pStyle w:val="Default"/>
              <w:jc w:val="both"/>
              <w:rPr>
                <w:rFonts w:eastAsia="Times New Roman"/>
                <w:color w:val="auto"/>
                <w:lang w:eastAsia="en-US"/>
              </w:rPr>
            </w:pPr>
            <w:hyperlink r:id="rId6" w:history="1">
              <w:r w:rsidR="005F2F0E" w:rsidRPr="00F0568C">
                <w:rPr>
                  <w:rFonts w:eastAsia="Times New Roman"/>
                  <w:color w:val="0000FF"/>
                  <w:u w:val="single"/>
                  <w:lang w:eastAsia="en-US"/>
                </w:rPr>
                <w:t>esma34-45-1272_guidelines_on_marketing_communications_lv.pdf (europa.eu)</w:t>
              </w:r>
            </w:hyperlink>
          </w:p>
          <w:p w14:paraId="1AA9D955" w14:textId="777A4EE0" w:rsidR="005F2F0E" w:rsidRPr="00F0568C" w:rsidRDefault="005F2F0E" w:rsidP="00865D59">
            <w:pPr>
              <w:pStyle w:val="Default"/>
              <w:jc w:val="both"/>
            </w:pPr>
          </w:p>
        </w:tc>
      </w:tr>
      <w:tr w:rsidR="00132582" w:rsidRPr="002D2594" w14:paraId="2A98DC15" w14:textId="77777777" w:rsidTr="00132582">
        <w:tc>
          <w:tcPr>
            <w:tcW w:w="937" w:type="dxa"/>
          </w:tcPr>
          <w:p w14:paraId="7696B992" w14:textId="77777777" w:rsidR="00132582" w:rsidRPr="00F0568C" w:rsidRDefault="00132582" w:rsidP="00F92267">
            <w:pPr>
              <w:jc w:val="center"/>
            </w:pPr>
            <w:r w:rsidRPr="00F0568C">
              <w:t>5.</w:t>
            </w:r>
          </w:p>
        </w:tc>
        <w:tc>
          <w:tcPr>
            <w:tcW w:w="8639" w:type="dxa"/>
          </w:tcPr>
          <w:p w14:paraId="0F5A120D" w14:textId="77777777" w:rsidR="00132582" w:rsidRPr="00F0568C" w:rsidRDefault="00CC49B9" w:rsidP="00F92267">
            <w:pPr>
              <w:rPr>
                <w:b/>
              </w:rPr>
            </w:pPr>
            <w:r w:rsidRPr="00F0568C">
              <w:rPr>
                <w:b/>
              </w:rPr>
              <w:t>Pamatnostādņu piemērošana</w:t>
            </w:r>
            <w:r w:rsidR="00132582" w:rsidRPr="00F0568C">
              <w:rPr>
                <w:b/>
              </w:rPr>
              <w:t xml:space="preserve"> </w:t>
            </w:r>
          </w:p>
          <w:p w14:paraId="0D732D0E" w14:textId="77777777" w:rsidR="00132582" w:rsidRPr="00F0568C" w:rsidRDefault="00132582" w:rsidP="00F92267">
            <w:pPr>
              <w:rPr>
                <w:sz w:val="22"/>
                <w:szCs w:val="22"/>
              </w:rPr>
            </w:pPr>
          </w:p>
          <w:p w14:paraId="1B6B369D" w14:textId="550B7F82" w:rsidR="002337D2" w:rsidRDefault="006D5FD9" w:rsidP="002337D2">
            <w:pPr>
              <w:pStyle w:val="Default"/>
              <w:jc w:val="both"/>
              <w:rPr>
                <w:rFonts w:eastAsia="Times New Roman"/>
                <w:color w:val="auto"/>
                <w:lang w:eastAsia="en-US"/>
              </w:rPr>
            </w:pPr>
            <w:r w:rsidRPr="00F0568C">
              <w:rPr>
                <w:rFonts w:eastAsia="Times New Roman"/>
                <w:color w:val="auto"/>
                <w:lang w:eastAsia="en-US"/>
              </w:rPr>
              <w:t>Finanšu un kapitāla tirgus komisija paziņo, ka izmantos Pamatnostādnes savā uzraudzības praksē</w:t>
            </w:r>
            <w:r w:rsidR="007C0889" w:rsidRPr="00F0568C">
              <w:rPr>
                <w:rFonts w:eastAsia="Times New Roman"/>
                <w:color w:val="auto"/>
                <w:lang w:eastAsia="en-US"/>
              </w:rPr>
              <w:t xml:space="preserve"> </w:t>
            </w:r>
            <w:r w:rsidR="00865D59" w:rsidRPr="00F0568C">
              <w:rPr>
                <w:rFonts w:eastAsia="Times New Roman"/>
                <w:color w:val="auto"/>
                <w:lang w:eastAsia="en-US"/>
              </w:rPr>
              <w:t xml:space="preserve">Regulas Nr. </w:t>
            </w:r>
            <w:r w:rsidR="005F2F0E" w:rsidRPr="00F0568C">
              <w:rPr>
                <w:rFonts w:eastAsia="Times New Roman"/>
                <w:color w:val="auto"/>
                <w:lang w:eastAsia="en-US"/>
              </w:rPr>
              <w:t>2019/1156</w:t>
            </w:r>
            <w:r w:rsidR="00865D59" w:rsidRPr="00F0568C">
              <w:rPr>
                <w:rFonts w:eastAsia="Times New Roman"/>
                <w:color w:val="auto"/>
                <w:lang w:eastAsia="en-US"/>
              </w:rPr>
              <w:t xml:space="preserve"> </w:t>
            </w:r>
            <w:r w:rsidR="007C0889" w:rsidRPr="00F0568C">
              <w:rPr>
                <w:rFonts w:eastAsia="Times New Roman"/>
                <w:color w:val="auto"/>
                <w:lang w:eastAsia="en-US"/>
              </w:rPr>
              <w:t>prasību piemērošanai</w:t>
            </w:r>
            <w:r w:rsidR="002337D2" w:rsidRPr="00F0568C">
              <w:t>, un norāda, ka tirgus dalībniekiem ir jāievēro Pamatnostādnes.</w:t>
            </w:r>
          </w:p>
          <w:p w14:paraId="4D5AAC82" w14:textId="7B1AF4AE" w:rsidR="00F56F58" w:rsidRPr="007156C3" w:rsidRDefault="00F56F58" w:rsidP="00132582">
            <w:pPr>
              <w:pStyle w:val="Default"/>
              <w:jc w:val="both"/>
            </w:pPr>
          </w:p>
        </w:tc>
      </w:tr>
    </w:tbl>
    <w:p w14:paraId="453FD7D6" w14:textId="77777777" w:rsidR="001E2E2A" w:rsidRPr="00550E74" w:rsidRDefault="001E2E2A" w:rsidP="00550E74">
      <w:pPr>
        <w:rPr>
          <w:sz w:val="2"/>
        </w:rPr>
      </w:pPr>
    </w:p>
    <w:sectPr w:rsidR="001E2E2A" w:rsidRPr="00550E74" w:rsidSect="006E719E">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F3DCE"/>
    <w:multiLevelType w:val="hybridMultilevel"/>
    <w:tmpl w:val="2904F386"/>
    <w:lvl w:ilvl="0" w:tplc="04090011">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F1EBF"/>
    <w:multiLevelType w:val="multilevel"/>
    <w:tmpl w:val="0409001F"/>
    <w:lvl w:ilvl="0">
      <w:start w:val="1"/>
      <w:numFmt w:val="decimal"/>
      <w:lvlText w:val="%1."/>
      <w:lvlJc w:val="left"/>
      <w:pPr>
        <w:ind w:left="502" w:hanging="360"/>
      </w:pPr>
    </w:lvl>
    <w:lvl w:ilvl="1">
      <w:start w:val="1"/>
      <w:numFmt w:val="decimal"/>
      <w:lvlText w:val="%1.%2."/>
      <w:lvlJc w:val="left"/>
      <w:pPr>
        <w:ind w:left="13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2A"/>
    <w:rsid w:val="0001620A"/>
    <w:rsid w:val="0005670C"/>
    <w:rsid w:val="00066E42"/>
    <w:rsid w:val="0012567B"/>
    <w:rsid w:val="00132582"/>
    <w:rsid w:val="00177CC9"/>
    <w:rsid w:val="001A35D7"/>
    <w:rsid w:val="001B5D9E"/>
    <w:rsid w:val="001D09FF"/>
    <w:rsid w:val="001E2E2A"/>
    <w:rsid w:val="0020038E"/>
    <w:rsid w:val="00200D0D"/>
    <w:rsid w:val="0021017C"/>
    <w:rsid w:val="002337D2"/>
    <w:rsid w:val="00241EAA"/>
    <w:rsid w:val="00267AA2"/>
    <w:rsid w:val="002D2594"/>
    <w:rsid w:val="002E1AB1"/>
    <w:rsid w:val="002E7A22"/>
    <w:rsid w:val="00300B97"/>
    <w:rsid w:val="003249F5"/>
    <w:rsid w:val="00326358"/>
    <w:rsid w:val="003329B9"/>
    <w:rsid w:val="00344DF6"/>
    <w:rsid w:val="00357E7C"/>
    <w:rsid w:val="00365DD0"/>
    <w:rsid w:val="003750C3"/>
    <w:rsid w:val="003C3BEA"/>
    <w:rsid w:val="00406A93"/>
    <w:rsid w:val="00411501"/>
    <w:rsid w:val="00413323"/>
    <w:rsid w:val="004436C5"/>
    <w:rsid w:val="00445CC1"/>
    <w:rsid w:val="004A49FF"/>
    <w:rsid w:val="004D3CAE"/>
    <w:rsid w:val="004F236C"/>
    <w:rsid w:val="00505193"/>
    <w:rsid w:val="00513B57"/>
    <w:rsid w:val="005170D0"/>
    <w:rsid w:val="00550E74"/>
    <w:rsid w:val="005553F8"/>
    <w:rsid w:val="005F2F0E"/>
    <w:rsid w:val="00633A0A"/>
    <w:rsid w:val="00695829"/>
    <w:rsid w:val="006D5FD9"/>
    <w:rsid w:val="006E719E"/>
    <w:rsid w:val="007156C3"/>
    <w:rsid w:val="0075078C"/>
    <w:rsid w:val="0078728E"/>
    <w:rsid w:val="00796D94"/>
    <w:rsid w:val="007A697C"/>
    <w:rsid w:val="007C0889"/>
    <w:rsid w:val="007D5C2D"/>
    <w:rsid w:val="00851E06"/>
    <w:rsid w:val="0085623B"/>
    <w:rsid w:val="00862893"/>
    <w:rsid w:val="00865D59"/>
    <w:rsid w:val="008836EB"/>
    <w:rsid w:val="008A43B7"/>
    <w:rsid w:val="008A58C1"/>
    <w:rsid w:val="008A677B"/>
    <w:rsid w:val="008C3CA3"/>
    <w:rsid w:val="008F3945"/>
    <w:rsid w:val="00932AD8"/>
    <w:rsid w:val="00945B1B"/>
    <w:rsid w:val="00A179FC"/>
    <w:rsid w:val="00A24BE0"/>
    <w:rsid w:val="00A93ED8"/>
    <w:rsid w:val="00A943B1"/>
    <w:rsid w:val="00AF2F2C"/>
    <w:rsid w:val="00B434E6"/>
    <w:rsid w:val="00B50744"/>
    <w:rsid w:val="00B51AB0"/>
    <w:rsid w:val="00B56DB2"/>
    <w:rsid w:val="00B6404E"/>
    <w:rsid w:val="00B8152D"/>
    <w:rsid w:val="00B94806"/>
    <w:rsid w:val="00BC3431"/>
    <w:rsid w:val="00BC5006"/>
    <w:rsid w:val="00BF7654"/>
    <w:rsid w:val="00C4475A"/>
    <w:rsid w:val="00C51E43"/>
    <w:rsid w:val="00CB321B"/>
    <w:rsid w:val="00CB56E6"/>
    <w:rsid w:val="00CC49B9"/>
    <w:rsid w:val="00CE6BE5"/>
    <w:rsid w:val="00D01068"/>
    <w:rsid w:val="00D15716"/>
    <w:rsid w:val="00D42FFD"/>
    <w:rsid w:val="00D451AA"/>
    <w:rsid w:val="00D61AC1"/>
    <w:rsid w:val="00DD2F6A"/>
    <w:rsid w:val="00E246EC"/>
    <w:rsid w:val="00E90BC1"/>
    <w:rsid w:val="00EB3443"/>
    <w:rsid w:val="00EC2341"/>
    <w:rsid w:val="00ED0ABA"/>
    <w:rsid w:val="00F0568C"/>
    <w:rsid w:val="00F56F58"/>
    <w:rsid w:val="00F92267"/>
    <w:rsid w:val="00FC3E13"/>
    <w:rsid w:val="00FC723C"/>
    <w:rsid w:val="00FD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A6BE"/>
  <w15:docId w15:val="{EB0C7BE1-5660-43D1-B560-6F1553BB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2A"/>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link w:val="Heading2Char"/>
    <w:autoRedefine/>
    <w:qFormat/>
    <w:rsid w:val="001E2E2A"/>
    <w:pPr>
      <w:keepLines/>
      <w:jc w:val="both"/>
      <w:outlineLvl w:val="1"/>
    </w:pPr>
    <w:rPr>
      <w:rFonts w:eastAsia="Calibri"/>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E2A"/>
    <w:rPr>
      <w:rFonts w:ascii="Times New Roman" w:eastAsia="Calibri" w:hAnsi="Times New Roman" w:cs="Times New Roman"/>
      <w:color w:val="000000"/>
      <w:sz w:val="24"/>
      <w:szCs w:val="24"/>
      <w:lang w:val="x-none" w:eastAsia="x-none"/>
    </w:rPr>
  </w:style>
  <w:style w:type="paragraph" w:customStyle="1" w:styleId="Datums">
    <w:name w:val="Datums"/>
    <w:basedOn w:val="Normal"/>
    <w:next w:val="Normal"/>
    <w:rsid w:val="001E2E2A"/>
    <w:pPr>
      <w:spacing w:before="1700"/>
    </w:pPr>
    <w:rPr>
      <w:szCs w:val="20"/>
      <w:lang w:val="en-US"/>
    </w:rPr>
  </w:style>
  <w:style w:type="paragraph" w:customStyle="1" w:styleId="Default">
    <w:name w:val="Default"/>
    <w:rsid w:val="001E2E2A"/>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table" w:styleId="TableGrid">
    <w:name w:val="Table Grid"/>
    <w:basedOn w:val="TableNormal"/>
    <w:uiPriority w:val="59"/>
    <w:rsid w:val="001E2E2A"/>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E2E2A"/>
    <w:pPr>
      <w:spacing w:after="120"/>
    </w:pPr>
  </w:style>
  <w:style w:type="character" w:customStyle="1" w:styleId="BodyTextChar">
    <w:name w:val="Body Text Char"/>
    <w:basedOn w:val="DefaultParagraphFont"/>
    <w:link w:val="BodyText"/>
    <w:uiPriority w:val="99"/>
    <w:rsid w:val="001E2E2A"/>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1E2E2A"/>
    <w:pPr>
      <w:ind w:left="720"/>
      <w:contextualSpacing/>
    </w:pPr>
  </w:style>
  <w:style w:type="paragraph" w:customStyle="1" w:styleId="tv213">
    <w:name w:val="tv213"/>
    <w:basedOn w:val="Normal"/>
    <w:rsid w:val="001E2E2A"/>
    <w:pPr>
      <w:spacing w:before="100" w:beforeAutospacing="1" w:after="100" w:afterAutospacing="1"/>
    </w:pPr>
    <w:rPr>
      <w:lang w:val="en-US"/>
    </w:rPr>
  </w:style>
  <w:style w:type="character" w:styleId="Hyperlink">
    <w:name w:val="Hyperlink"/>
    <w:basedOn w:val="DefaultParagraphFont"/>
    <w:uiPriority w:val="99"/>
    <w:unhideWhenUsed/>
    <w:rsid w:val="00132582"/>
    <w:rPr>
      <w:color w:val="0000FF" w:themeColor="hyperlink"/>
      <w:u w:val="single"/>
    </w:rPr>
  </w:style>
  <w:style w:type="paragraph" w:styleId="BalloonText">
    <w:name w:val="Balloon Text"/>
    <w:basedOn w:val="Normal"/>
    <w:link w:val="BalloonTextChar"/>
    <w:uiPriority w:val="99"/>
    <w:semiHidden/>
    <w:unhideWhenUsed/>
    <w:rsid w:val="00B6404E"/>
    <w:rPr>
      <w:rFonts w:ascii="Tahoma" w:hAnsi="Tahoma" w:cs="Tahoma"/>
      <w:sz w:val="16"/>
      <w:szCs w:val="16"/>
    </w:rPr>
  </w:style>
  <w:style w:type="character" w:customStyle="1" w:styleId="BalloonTextChar">
    <w:name w:val="Balloon Text Char"/>
    <w:basedOn w:val="DefaultParagraphFont"/>
    <w:link w:val="BalloonText"/>
    <w:uiPriority w:val="99"/>
    <w:semiHidden/>
    <w:rsid w:val="00B6404E"/>
    <w:rPr>
      <w:rFonts w:ascii="Tahoma" w:eastAsia="Times New Roman" w:hAnsi="Tahoma" w:cs="Tahoma"/>
      <w:sz w:val="16"/>
      <w:szCs w:val="16"/>
      <w:lang w:val="lv-LV"/>
    </w:rPr>
  </w:style>
  <w:style w:type="character" w:styleId="FollowedHyperlink">
    <w:name w:val="FollowedHyperlink"/>
    <w:basedOn w:val="DefaultParagraphFont"/>
    <w:uiPriority w:val="99"/>
    <w:semiHidden/>
    <w:unhideWhenUsed/>
    <w:rsid w:val="007A697C"/>
    <w:rPr>
      <w:color w:val="800080" w:themeColor="followedHyperlink"/>
      <w:u w:val="single"/>
    </w:rPr>
  </w:style>
  <w:style w:type="paragraph" w:customStyle="1" w:styleId="Normal1">
    <w:name w:val="Normal1"/>
    <w:basedOn w:val="Normal"/>
    <w:rsid w:val="0012567B"/>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695829"/>
    <w:rPr>
      <w:sz w:val="16"/>
      <w:szCs w:val="16"/>
    </w:rPr>
  </w:style>
  <w:style w:type="paragraph" w:styleId="CommentText">
    <w:name w:val="annotation text"/>
    <w:basedOn w:val="Normal"/>
    <w:link w:val="CommentTextChar"/>
    <w:uiPriority w:val="99"/>
    <w:semiHidden/>
    <w:unhideWhenUsed/>
    <w:rsid w:val="00695829"/>
    <w:rPr>
      <w:sz w:val="20"/>
      <w:szCs w:val="20"/>
    </w:rPr>
  </w:style>
  <w:style w:type="character" w:customStyle="1" w:styleId="CommentTextChar">
    <w:name w:val="Comment Text Char"/>
    <w:basedOn w:val="DefaultParagraphFont"/>
    <w:link w:val="CommentText"/>
    <w:uiPriority w:val="99"/>
    <w:semiHidden/>
    <w:rsid w:val="00695829"/>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95829"/>
    <w:rPr>
      <w:b/>
      <w:bCs/>
    </w:rPr>
  </w:style>
  <w:style w:type="character" w:customStyle="1" w:styleId="CommentSubjectChar">
    <w:name w:val="Comment Subject Char"/>
    <w:basedOn w:val="CommentTextChar"/>
    <w:link w:val="CommentSubject"/>
    <w:uiPriority w:val="99"/>
    <w:semiHidden/>
    <w:rsid w:val="00695829"/>
    <w:rPr>
      <w:rFonts w:ascii="Times New Roman" w:eastAsia="Times New Roman" w:hAnsi="Times New Roman" w:cs="Times New Roman"/>
      <w:b/>
      <w:bCs/>
      <w:sz w:val="20"/>
      <w:szCs w:val="20"/>
      <w:lang w:val="lv-LV"/>
    </w:rPr>
  </w:style>
  <w:style w:type="paragraph" w:customStyle="1" w:styleId="Normal2">
    <w:name w:val="Normal2"/>
    <w:basedOn w:val="Normal"/>
    <w:rsid w:val="00E90BC1"/>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7156C3"/>
    <w:rPr>
      <w:color w:val="605E5C"/>
      <w:shd w:val="clear" w:color="auto" w:fill="E1DFDD"/>
    </w:rPr>
  </w:style>
  <w:style w:type="paragraph" w:customStyle="1" w:styleId="Teksts1">
    <w:name w:val="Teksts1"/>
    <w:basedOn w:val="Normal"/>
    <w:rsid w:val="00513B57"/>
    <w:pPr>
      <w:suppressAutoHyphens/>
      <w:spacing w:after="3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18497">
      <w:bodyDiv w:val="1"/>
      <w:marLeft w:val="0"/>
      <w:marRight w:val="0"/>
      <w:marTop w:val="0"/>
      <w:marBottom w:val="0"/>
      <w:divBdr>
        <w:top w:val="none" w:sz="0" w:space="0" w:color="auto"/>
        <w:left w:val="none" w:sz="0" w:space="0" w:color="auto"/>
        <w:bottom w:val="none" w:sz="0" w:space="0" w:color="auto"/>
        <w:right w:val="none" w:sz="0" w:space="0" w:color="auto"/>
      </w:divBdr>
    </w:div>
    <w:div w:id="624504483">
      <w:bodyDiv w:val="1"/>
      <w:marLeft w:val="0"/>
      <w:marRight w:val="0"/>
      <w:marTop w:val="0"/>
      <w:marBottom w:val="0"/>
      <w:divBdr>
        <w:top w:val="none" w:sz="0" w:space="0" w:color="auto"/>
        <w:left w:val="none" w:sz="0" w:space="0" w:color="auto"/>
        <w:bottom w:val="none" w:sz="0" w:space="0" w:color="auto"/>
        <w:right w:val="none" w:sz="0" w:space="0" w:color="auto"/>
      </w:divBdr>
    </w:div>
    <w:div w:id="990986335">
      <w:bodyDiv w:val="1"/>
      <w:marLeft w:val="0"/>
      <w:marRight w:val="0"/>
      <w:marTop w:val="0"/>
      <w:marBottom w:val="0"/>
      <w:divBdr>
        <w:top w:val="none" w:sz="0" w:space="0" w:color="auto"/>
        <w:left w:val="none" w:sz="0" w:space="0" w:color="auto"/>
        <w:bottom w:val="none" w:sz="0" w:space="0" w:color="auto"/>
        <w:right w:val="none" w:sz="0" w:space="0" w:color="auto"/>
      </w:divBdr>
    </w:div>
    <w:div w:id="1119374596">
      <w:bodyDiv w:val="1"/>
      <w:marLeft w:val="0"/>
      <w:marRight w:val="0"/>
      <w:marTop w:val="0"/>
      <w:marBottom w:val="0"/>
      <w:divBdr>
        <w:top w:val="none" w:sz="0" w:space="0" w:color="auto"/>
        <w:left w:val="none" w:sz="0" w:space="0" w:color="auto"/>
        <w:bottom w:val="none" w:sz="0" w:space="0" w:color="auto"/>
        <w:right w:val="none" w:sz="0" w:space="0" w:color="auto"/>
      </w:divBdr>
    </w:div>
    <w:div w:id="1340618747">
      <w:bodyDiv w:val="1"/>
      <w:marLeft w:val="0"/>
      <w:marRight w:val="0"/>
      <w:marTop w:val="0"/>
      <w:marBottom w:val="0"/>
      <w:divBdr>
        <w:top w:val="none" w:sz="0" w:space="0" w:color="auto"/>
        <w:left w:val="none" w:sz="0" w:space="0" w:color="auto"/>
        <w:bottom w:val="none" w:sz="0" w:space="0" w:color="auto"/>
        <w:right w:val="none" w:sz="0" w:space="0" w:color="auto"/>
      </w:divBdr>
    </w:div>
    <w:div w:id="13547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ma.europa.eu/sites/default/files/library/esma34-45-1272_guidelines_on_marketing_communications_lv.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C821-390F-47E7-BFBF-638E2C80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1414</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 Kolomiets</dc:creator>
  <cp:lastModifiedBy>Sigita Tukisa</cp:lastModifiedBy>
  <cp:revision>22</cp:revision>
  <cp:lastPrinted>2019-08-23T13:10:00Z</cp:lastPrinted>
  <dcterms:created xsi:type="dcterms:W3CDTF">2021-09-30T07:02:00Z</dcterms:created>
  <dcterms:modified xsi:type="dcterms:W3CDTF">2021-09-30T10:15:00Z</dcterms:modified>
</cp:coreProperties>
</file>