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5342" w14:textId="77777777" w:rsidR="0075078C" w:rsidRDefault="0075078C"/>
    <w:p w14:paraId="3AE8E45E" w14:textId="77777777" w:rsidR="001E2E2A" w:rsidRDefault="001E2E2A"/>
    <w:p w14:paraId="138DB860" w14:textId="77777777" w:rsidR="001A3C5A" w:rsidRDefault="001A3C5A" w:rsidP="001A3C5A">
      <w:pPr>
        <w:rPr>
          <w:noProof/>
        </w:rPr>
      </w:pPr>
    </w:p>
    <w:p w14:paraId="3EE706A1" w14:textId="77777777" w:rsidR="001A3C5A" w:rsidRDefault="001A3C5A" w:rsidP="001A3C5A">
      <w:pPr>
        <w:rPr>
          <w:noProof/>
        </w:rPr>
      </w:pPr>
    </w:p>
    <w:p w14:paraId="3FF61A77" w14:textId="0614BDD3" w:rsidR="001A3C5A" w:rsidRPr="004D2D1C" w:rsidRDefault="001A3C5A" w:rsidP="001A3C5A">
      <w:pPr>
        <w:rPr>
          <w:noProof/>
        </w:rPr>
      </w:pPr>
      <w:r>
        <w:rPr>
          <w:noProof/>
        </w:rPr>
        <w:t>Rīgā 20</w:t>
      </w:r>
      <w:r w:rsidR="00DD0D58">
        <w:rPr>
          <w:noProof/>
        </w:rPr>
        <w:t>21</w:t>
      </w:r>
      <w:r>
        <w:rPr>
          <w:noProof/>
        </w:rPr>
        <w:t>. gada</w:t>
      </w:r>
      <w:r w:rsidR="0045619F">
        <w:rPr>
          <w:noProof/>
        </w:rPr>
        <w:t xml:space="preserve"> </w:t>
      </w:r>
      <w:r w:rsidR="00992CF9">
        <w:rPr>
          <w:noProof/>
        </w:rPr>
        <w:t>26. jūlijā</w:t>
      </w:r>
    </w:p>
    <w:p w14:paraId="5F62281C" w14:textId="77777777" w:rsidR="001E2E2A" w:rsidRDefault="001E2E2A" w:rsidP="001E2E2A">
      <w:pPr>
        <w:rPr>
          <w:sz w:val="22"/>
          <w:szCs w:val="22"/>
        </w:rPr>
      </w:pPr>
    </w:p>
    <w:p w14:paraId="2CC96403" w14:textId="77777777" w:rsidR="001E2E2A" w:rsidRDefault="001E2E2A" w:rsidP="001E2E2A">
      <w:pPr>
        <w:pStyle w:val="BodyText"/>
        <w:tabs>
          <w:tab w:val="left" w:pos="284"/>
        </w:tabs>
        <w:jc w:val="both"/>
        <w:rPr>
          <w:b/>
          <w:sz w:val="28"/>
          <w:szCs w:val="28"/>
        </w:rPr>
      </w:pPr>
      <w:r>
        <w:rPr>
          <w:b/>
          <w:sz w:val="28"/>
          <w:szCs w:val="28"/>
        </w:rPr>
        <w:t>PAZIŅOJUMS</w:t>
      </w:r>
      <w:r w:rsidR="00326358">
        <w:rPr>
          <w:b/>
          <w:sz w:val="28"/>
          <w:szCs w:val="28"/>
        </w:rPr>
        <w:t xml:space="preserve"> PAR PAMATNOSTĀDŅU PIEMĒROŠAN</w:t>
      </w:r>
      <w:r w:rsidR="00066E42">
        <w:rPr>
          <w:b/>
          <w:sz w:val="28"/>
          <w:szCs w:val="28"/>
        </w:rPr>
        <w:t>U</w:t>
      </w:r>
    </w:p>
    <w:tbl>
      <w:tblPr>
        <w:tblStyle w:val="TableGrid"/>
        <w:tblW w:w="0" w:type="auto"/>
        <w:tblLayout w:type="fixed"/>
        <w:tblLook w:val="04A0" w:firstRow="1" w:lastRow="0" w:firstColumn="1" w:lastColumn="0" w:noHBand="0" w:noVBand="1"/>
      </w:tblPr>
      <w:tblGrid>
        <w:gridCol w:w="421"/>
        <w:gridCol w:w="8929"/>
      </w:tblGrid>
      <w:tr w:rsidR="00445CC1" w:rsidRPr="00A94E50" w14:paraId="63615372" w14:textId="77777777" w:rsidTr="00BA4ADE">
        <w:tc>
          <w:tcPr>
            <w:tcW w:w="421" w:type="dxa"/>
          </w:tcPr>
          <w:p w14:paraId="450EA114" w14:textId="77777777" w:rsidR="00445CC1" w:rsidRPr="00BF558F" w:rsidRDefault="00445CC1" w:rsidP="00445CC1">
            <w:pPr>
              <w:jc w:val="center"/>
            </w:pPr>
            <w:r>
              <w:t>1</w:t>
            </w:r>
            <w:r w:rsidRPr="00BF558F">
              <w:t>.</w:t>
            </w:r>
          </w:p>
        </w:tc>
        <w:tc>
          <w:tcPr>
            <w:tcW w:w="8929" w:type="dxa"/>
          </w:tcPr>
          <w:p w14:paraId="5D465BDF" w14:textId="77777777" w:rsidR="00445CC1" w:rsidRPr="00D451AA" w:rsidRDefault="00445CC1" w:rsidP="00F92267">
            <w:pPr>
              <w:keepNext/>
              <w:keepLines/>
              <w:jc w:val="both"/>
              <w:rPr>
                <w:b/>
              </w:rPr>
            </w:pPr>
            <w:r w:rsidRPr="00D451AA">
              <w:rPr>
                <w:b/>
              </w:rPr>
              <w:t>Pamatnostādņu adresāti</w:t>
            </w:r>
          </w:p>
          <w:p w14:paraId="6F3F7185" w14:textId="77777777" w:rsidR="00445CC1" w:rsidRPr="00BF558F" w:rsidRDefault="00445CC1" w:rsidP="00F92267">
            <w:pPr>
              <w:keepNext/>
              <w:keepLines/>
              <w:jc w:val="both"/>
            </w:pPr>
          </w:p>
          <w:p w14:paraId="6FF2F0A7" w14:textId="38B62453" w:rsidR="00734C6B" w:rsidRDefault="0088260F" w:rsidP="00B97A18">
            <w:pPr>
              <w:pStyle w:val="Default"/>
              <w:keepNext/>
              <w:keepLines/>
              <w:spacing w:after="240"/>
              <w:jc w:val="both"/>
            </w:pPr>
            <w:r w:rsidRPr="0088260F">
              <w:t xml:space="preserve">Eiropas Vērtspapīru un tirgu iestādes </w:t>
            </w:r>
            <w:r w:rsidR="00B97A18">
              <w:t xml:space="preserve">pamatnostādnes Nr. </w:t>
            </w:r>
            <w:r w:rsidRPr="0088260F">
              <w:t>ESMA34-32-701</w:t>
            </w:r>
            <w:r>
              <w:t xml:space="preserve"> </w:t>
            </w:r>
            <w:r w:rsidR="00B97A18">
              <w:t>"</w:t>
            </w:r>
            <w:r w:rsidRPr="0088260F">
              <w:t>Pamatnostādnes par Direktīvas 2011/61/ES 25. pantu</w:t>
            </w:r>
            <w:r w:rsidR="00B97A18">
              <w:t xml:space="preserve">" (turpmāk – </w:t>
            </w:r>
            <w:r w:rsidR="002A449E">
              <w:t>p</w:t>
            </w:r>
            <w:r w:rsidR="00B97A18">
              <w:t>amatnostādnes) attiecas uz kompetentajām iestādēm (Latvijā – uz Finanšu un kapitā</w:t>
            </w:r>
            <w:r w:rsidR="002A449E">
              <w:t>la tirgus komisiju</w:t>
            </w:r>
            <w:r w:rsidR="00B97A18">
              <w:t>)</w:t>
            </w:r>
            <w:r>
              <w:t>.</w:t>
            </w:r>
          </w:p>
          <w:p w14:paraId="3A0D711A" w14:textId="77777777" w:rsidR="0067545C" w:rsidRDefault="00496715" w:rsidP="000328BF">
            <w:pPr>
              <w:pStyle w:val="Default"/>
              <w:keepNext/>
              <w:keepLines/>
              <w:jc w:val="both"/>
            </w:pPr>
            <w:r w:rsidRPr="00496715">
              <w:t xml:space="preserve">Eiropas Parlamenta un Padomes </w:t>
            </w:r>
            <w:bookmarkStart w:id="0" w:name="_Hlk75943197"/>
            <w:r w:rsidRPr="00496715">
              <w:t xml:space="preserve">Direktīva 2011/61/ES </w:t>
            </w:r>
            <w:bookmarkEnd w:id="0"/>
            <w:r w:rsidRPr="00496715">
              <w:t xml:space="preserve">(2011. gada 8. jūnijs) par alternatīvo ieguldījumu fondu pārvaldniekiem un par grozījumiem Direktīvā 2003/41/EK, Direktīvā 2009/65/EK, Regulā (EK) Nr. 1060/2009 un Regulā (ES) Nr. 1095/2010 (tālāk tekstā – </w:t>
            </w:r>
            <w:bookmarkStart w:id="1" w:name="_Hlk75944708"/>
            <w:r w:rsidRPr="00496715">
              <w:t>Direktīva 2011/61/ES</w:t>
            </w:r>
            <w:bookmarkEnd w:id="1"/>
            <w:r w:rsidRPr="00496715">
              <w:t>) 25. pants</w:t>
            </w:r>
            <w:r w:rsidR="0067545C">
              <w:t xml:space="preserve">, </w:t>
            </w:r>
            <w:r w:rsidR="0067545C" w:rsidRPr="0067545C">
              <w:t>kurš ir ieviests Alternatīvo ieguldījumu fondu un to pārvaldnieku likuma 60.pantā,</w:t>
            </w:r>
            <w:r w:rsidR="0067545C">
              <w:t xml:space="preserve"> </w:t>
            </w:r>
            <w:r w:rsidRPr="00496715">
              <w:t xml:space="preserve">nosaka, ka alternatīvo ieguldījumu fondu pārvaldnieka (AIFP) izcelsmes dalībvalsts kompetentā iestāde izmanto tās rīcībā esošo informāciju, lai noteiktu, cik lielā mērā AIFP pārvaldīto AIF izmantotais sviras finansējums veicina sistēmiskā riska veidošanos finanšu sistēmā vai izraisa riskus ekonomikas ilgtermiņa izaugsmei. </w:t>
            </w:r>
          </w:p>
          <w:p w14:paraId="560721E4" w14:textId="7BB482BA" w:rsidR="00734C6B" w:rsidRDefault="002A449E" w:rsidP="000328BF">
            <w:pPr>
              <w:pStyle w:val="Default"/>
              <w:keepNext/>
              <w:keepLines/>
              <w:jc w:val="both"/>
            </w:pPr>
            <w:r>
              <w:t>Šīs p</w:t>
            </w:r>
            <w:r w:rsidR="00734C6B">
              <w:t xml:space="preserve">amatnostādnes attiecas uz </w:t>
            </w:r>
            <w:r w:rsidR="0067545C">
              <w:t>F</w:t>
            </w:r>
            <w:r w:rsidR="0067545C" w:rsidRPr="0067545C">
              <w:t>inanšu un kapitāla tirgus komisiju</w:t>
            </w:r>
            <w:r w:rsidR="00734C6B">
              <w:t>.</w:t>
            </w:r>
          </w:p>
          <w:p w14:paraId="6AABFEF8" w14:textId="77777777" w:rsidR="00DD539D" w:rsidRPr="00DD539D" w:rsidRDefault="00DD539D" w:rsidP="000328BF">
            <w:pPr>
              <w:pStyle w:val="Default"/>
              <w:keepNext/>
              <w:keepLines/>
              <w:jc w:val="both"/>
            </w:pPr>
          </w:p>
        </w:tc>
      </w:tr>
      <w:tr w:rsidR="001E2E2A" w:rsidRPr="00A94E50" w14:paraId="58DBC433" w14:textId="77777777" w:rsidTr="00BA4ADE">
        <w:trPr>
          <w:trHeight w:val="812"/>
        </w:trPr>
        <w:tc>
          <w:tcPr>
            <w:tcW w:w="421" w:type="dxa"/>
          </w:tcPr>
          <w:p w14:paraId="27CB3713" w14:textId="77777777" w:rsidR="001E2E2A" w:rsidRPr="009604BC" w:rsidRDefault="00445CC1" w:rsidP="00F92267">
            <w:pPr>
              <w:jc w:val="center"/>
            </w:pPr>
            <w:r>
              <w:t>2</w:t>
            </w:r>
            <w:r w:rsidR="001E2E2A" w:rsidRPr="009604BC">
              <w:t>.</w:t>
            </w:r>
          </w:p>
        </w:tc>
        <w:tc>
          <w:tcPr>
            <w:tcW w:w="8929" w:type="dxa"/>
          </w:tcPr>
          <w:p w14:paraId="3A0C94A4" w14:textId="77777777" w:rsidR="001E2E2A" w:rsidRDefault="00406A93" w:rsidP="00F92267">
            <w:pPr>
              <w:rPr>
                <w:b/>
              </w:rPr>
            </w:pPr>
            <w:r>
              <w:rPr>
                <w:b/>
              </w:rPr>
              <w:t>Tiesību aktu</w:t>
            </w:r>
            <w:r w:rsidR="001A3C5A">
              <w:rPr>
                <w:b/>
              </w:rPr>
              <w:t xml:space="preserve"> </w:t>
            </w:r>
            <w:r w:rsidR="001E2E2A" w:rsidRPr="001E2E2A">
              <w:rPr>
                <w:b/>
              </w:rPr>
              <w:t>prasība</w:t>
            </w:r>
            <w:r>
              <w:rPr>
                <w:b/>
              </w:rPr>
              <w:t>s</w:t>
            </w:r>
            <w:r w:rsidR="001E2E2A" w:rsidRPr="001E2E2A">
              <w:rPr>
                <w:b/>
              </w:rPr>
              <w:t>, kur</w:t>
            </w:r>
            <w:r>
              <w:rPr>
                <w:b/>
              </w:rPr>
              <w:t>u</w:t>
            </w:r>
            <w:r w:rsidR="001E2E2A" w:rsidRPr="001E2E2A">
              <w:rPr>
                <w:b/>
              </w:rPr>
              <w:t xml:space="preserve"> izpildei ir jāievēro pamatnostādnes</w:t>
            </w:r>
          </w:p>
          <w:p w14:paraId="0FAF2F06" w14:textId="77777777" w:rsidR="00500294" w:rsidRDefault="00500294" w:rsidP="001A3C5A">
            <w:pPr>
              <w:rPr>
                <w:sz w:val="22"/>
                <w:szCs w:val="22"/>
              </w:rPr>
            </w:pPr>
          </w:p>
          <w:p w14:paraId="2AE61C63" w14:textId="1C698C08" w:rsidR="00DD539D" w:rsidRPr="00DD539D" w:rsidRDefault="0067545C" w:rsidP="00DD539D">
            <w:pPr>
              <w:jc w:val="both"/>
            </w:pPr>
            <w:r w:rsidRPr="0067545C">
              <w:t>Alternatīvo ieguldījumu fondu un to pārvaldnieku likuma 60.pants  Informācijas izmantošana pārvaldnieka darbības pārrobežu uzraudzībā</w:t>
            </w:r>
            <w:r>
              <w:t>.</w:t>
            </w:r>
          </w:p>
        </w:tc>
      </w:tr>
      <w:tr w:rsidR="001E2E2A" w:rsidRPr="00A94E50" w14:paraId="26F754F2" w14:textId="77777777" w:rsidTr="00BA4ADE">
        <w:tc>
          <w:tcPr>
            <w:tcW w:w="421" w:type="dxa"/>
          </w:tcPr>
          <w:p w14:paraId="0202C840" w14:textId="77777777" w:rsidR="001E2E2A" w:rsidRPr="00A94E50" w:rsidRDefault="00D451AA" w:rsidP="00F92267">
            <w:pPr>
              <w:jc w:val="center"/>
              <w:rPr>
                <w:highlight w:val="yellow"/>
              </w:rPr>
            </w:pPr>
            <w:r>
              <w:t>3</w:t>
            </w:r>
            <w:r w:rsidR="001E2E2A" w:rsidRPr="0061249E">
              <w:t>.</w:t>
            </w:r>
          </w:p>
        </w:tc>
        <w:tc>
          <w:tcPr>
            <w:tcW w:w="8929" w:type="dxa"/>
          </w:tcPr>
          <w:p w14:paraId="3FC8EC0F" w14:textId="77777777" w:rsidR="001E2E2A" w:rsidRPr="00132582" w:rsidRDefault="001E2E2A" w:rsidP="00F92267">
            <w:pPr>
              <w:rPr>
                <w:b/>
              </w:rPr>
            </w:pPr>
            <w:r w:rsidRPr="00132582">
              <w:rPr>
                <w:b/>
              </w:rPr>
              <w:t>Pamatnostādņu mērķis un būtība</w:t>
            </w:r>
          </w:p>
          <w:p w14:paraId="1A14C6C2" w14:textId="77777777" w:rsidR="001E2E2A" w:rsidRDefault="001E2E2A" w:rsidP="00F92267">
            <w:pPr>
              <w:tabs>
                <w:tab w:val="left" w:pos="0"/>
              </w:tabs>
              <w:jc w:val="both"/>
            </w:pPr>
          </w:p>
          <w:p w14:paraId="03AAD4CB" w14:textId="77777777" w:rsidR="00722505" w:rsidRPr="00722505" w:rsidRDefault="00722505" w:rsidP="00722505">
            <w:pPr>
              <w:tabs>
                <w:tab w:val="left" w:pos="0"/>
              </w:tabs>
              <w:spacing w:after="240"/>
              <w:jc w:val="both"/>
            </w:pPr>
            <w:r w:rsidRPr="00722505">
              <w:t>Pamatnostādņu mērķis ir izveidot konsekventu, efektīvu un konstruktīvu uzraudzības praksi Eiropas finanšu uzraudzības sistēmā un nodrošināt vienotu, vienveidīgu un konsekventu Direktīva 2011/61/ES 25. panta piemērošanu, t.i. lai kompetentās iestādes novērtējot ar sviras finansējumu saistīto sistēmisko risku (tālāk tekstā - riska novērtējums) un lemjot par sviras finansējumu ierobežojošu pasākumu ieviešanu, piemērotu konsekventu pieeju.</w:t>
            </w:r>
          </w:p>
          <w:p w14:paraId="67981226" w14:textId="77777777" w:rsidR="00722505" w:rsidRPr="00722505" w:rsidRDefault="00722505" w:rsidP="00722505">
            <w:pPr>
              <w:tabs>
                <w:tab w:val="left" w:pos="0"/>
              </w:tabs>
              <w:spacing w:after="240"/>
              <w:jc w:val="both"/>
            </w:pPr>
            <w:r w:rsidRPr="00722505">
              <w:t>Pamatnostādnes paredz, ka kompetentā iestāde veic riska novērtējumu, izmantojot divpakāpju pieeju, ņemot vērā sviras finansējuma avotu un veidu, kā arī ar to saistīto sistēmisko risku.</w:t>
            </w:r>
            <w:bookmarkStart w:id="2" w:name="_Hlk75948943"/>
          </w:p>
          <w:p w14:paraId="7A082EC6" w14:textId="3C8DDB2B" w:rsidR="00BA4ADE" w:rsidRPr="00E5402A" w:rsidRDefault="00722505" w:rsidP="00E5402A">
            <w:pPr>
              <w:tabs>
                <w:tab w:val="left" w:pos="0"/>
              </w:tabs>
              <w:spacing w:after="240"/>
              <w:jc w:val="both"/>
            </w:pPr>
            <w:r w:rsidRPr="00722505">
              <w:t xml:space="preserve">Pirmajā novērtējuma posmā identificē </w:t>
            </w:r>
            <w:bookmarkEnd w:id="2"/>
            <w:r w:rsidRPr="00722505">
              <w:t>tos AIF</w:t>
            </w:r>
            <w:bookmarkStart w:id="3" w:name="_Hlk75949211"/>
            <w:r w:rsidRPr="00722505">
              <w:t>, kuri var radīt sistēmisko risku</w:t>
            </w:r>
            <w:bookmarkEnd w:id="3"/>
            <w:r w:rsidRPr="00722505">
              <w:t xml:space="preserve">. Pamatnostādnes nosaka šādu AIF kritērijus. Otrajā posmā novērtē iespējamos sistēmiskos riskus  attiecībā uz pirmajā posmā identificēto AIF finanšu stabilitāti, novērtējumā iekļaujot tirgus ietekmes risku, AIF ietekmi uz finanšu iestādēm, piespiedu pārdošanas risku, </w:t>
            </w:r>
            <w:proofErr w:type="spellStart"/>
            <w:r w:rsidRPr="00722505">
              <w:t>kredītstarpniecības</w:t>
            </w:r>
            <w:proofErr w:type="spellEnd"/>
            <w:r w:rsidRPr="00722505">
              <w:t xml:space="preserve"> pārtraukšanas risku.</w:t>
            </w:r>
          </w:p>
        </w:tc>
      </w:tr>
      <w:tr w:rsidR="001E2E2A" w:rsidRPr="00A94E50" w14:paraId="55D0D093" w14:textId="77777777" w:rsidTr="00BA4ADE">
        <w:tc>
          <w:tcPr>
            <w:tcW w:w="421" w:type="dxa"/>
          </w:tcPr>
          <w:p w14:paraId="79829ADB" w14:textId="77777777" w:rsidR="001E2E2A" w:rsidRPr="001B402B" w:rsidRDefault="001E2E2A" w:rsidP="00F92267">
            <w:pPr>
              <w:jc w:val="center"/>
            </w:pPr>
            <w:r w:rsidRPr="001B402B">
              <w:lastRenderedPageBreak/>
              <w:t>4.</w:t>
            </w:r>
          </w:p>
        </w:tc>
        <w:tc>
          <w:tcPr>
            <w:tcW w:w="8929" w:type="dxa"/>
          </w:tcPr>
          <w:p w14:paraId="227BC6AF" w14:textId="77777777" w:rsidR="001E2E2A" w:rsidRPr="00132582" w:rsidRDefault="00132582" w:rsidP="00F92267">
            <w:pPr>
              <w:rPr>
                <w:b/>
              </w:rPr>
            </w:pPr>
            <w:r w:rsidRPr="00132582">
              <w:rPr>
                <w:b/>
              </w:rPr>
              <w:t xml:space="preserve">Atsauce uz Pamatnostādņu tekstu </w:t>
            </w:r>
          </w:p>
          <w:p w14:paraId="0181FC9F" w14:textId="77777777" w:rsidR="001E2E2A" w:rsidRDefault="001E2E2A" w:rsidP="00F92267">
            <w:pPr>
              <w:rPr>
                <w:sz w:val="22"/>
                <w:szCs w:val="22"/>
              </w:rPr>
            </w:pPr>
          </w:p>
          <w:p w14:paraId="72C51974" w14:textId="2730B370" w:rsidR="00B97A18" w:rsidRPr="002A449E" w:rsidRDefault="00B97A18" w:rsidP="00F92267">
            <w:r w:rsidRPr="002A449E">
              <w:t xml:space="preserve">Pamatnostādņu teksts ir pieejams Eiropas </w:t>
            </w:r>
            <w:r w:rsidR="00722505">
              <w:t xml:space="preserve">Vērtspapīru un tirgu </w:t>
            </w:r>
            <w:r w:rsidRPr="002A449E">
              <w:t>iestādes mājaslapā:</w:t>
            </w:r>
          </w:p>
          <w:p w14:paraId="3E1C114F" w14:textId="79B9176A" w:rsidR="00BA4ADE" w:rsidRPr="00BA4ADE" w:rsidRDefault="00992CF9" w:rsidP="00DD0D58">
            <w:pPr>
              <w:autoSpaceDE w:val="0"/>
              <w:autoSpaceDN w:val="0"/>
              <w:adjustRightInd w:val="0"/>
              <w:jc w:val="both"/>
              <w:rPr>
                <w:rFonts w:ascii="Verdana" w:eastAsiaTheme="minorHAnsi" w:hAnsi="Verdana" w:cs="Verdana"/>
                <w:color w:val="000000"/>
                <w:sz w:val="22"/>
                <w:szCs w:val="22"/>
              </w:rPr>
            </w:pPr>
            <w:hyperlink r:id="rId7" w:history="1">
              <w:r w:rsidR="00722505">
                <w:rPr>
                  <w:rFonts w:ascii="Arial" w:eastAsiaTheme="minorHAnsi" w:hAnsi="Arial" w:cs="Arial"/>
                  <w:color w:val="0082BF"/>
                  <w:sz w:val="20"/>
                  <w:szCs w:val="20"/>
                  <w:u w:val="single"/>
                </w:rPr>
                <w:t>ESMA34-32-701</w:t>
              </w:r>
            </w:hyperlink>
            <w:r w:rsidR="00722505">
              <w:rPr>
                <w:rFonts w:ascii="Arial" w:eastAsiaTheme="minorHAnsi" w:hAnsi="Arial" w:cs="Arial"/>
                <w:color w:val="000000"/>
                <w:sz w:val="20"/>
                <w:szCs w:val="20"/>
              </w:rPr>
              <w:t>.</w:t>
            </w:r>
          </w:p>
        </w:tc>
      </w:tr>
      <w:tr w:rsidR="00132582" w:rsidRPr="00A94E50" w14:paraId="65853D30" w14:textId="77777777" w:rsidTr="00BA4ADE">
        <w:tc>
          <w:tcPr>
            <w:tcW w:w="421" w:type="dxa"/>
          </w:tcPr>
          <w:p w14:paraId="46DE7F2E" w14:textId="77777777" w:rsidR="00132582" w:rsidRPr="001B402B" w:rsidRDefault="00132582" w:rsidP="00F92267">
            <w:pPr>
              <w:jc w:val="center"/>
            </w:pPr>
            <w:r>
              <w:t>5</w:t>
            </w:r>
            <w:r w:rsidRPr="001B402B">
              <w:t>.</w:t>
            </w:r>
          </w:p>
        </w:tc>
        <w:tc>
          <w:tcPr>
            <w:tcW w:w="8929" w:type="dxa"/>
          </w:tcPr>
          <w:p w14:paraId="60C1D124" w14:textId="77777777" w:rsidR="00132582" w:rsidRPr="00132582" w:rsidRDefault="00CC49B9" w:rsidP="00F92267">
            <w:pPr>
              <w:rPr>
                <w:b/>
              </w:rPr>
            </w:pPr>
            <w:r>
              <w:rPr>
                <w:b/>
              </w:rPr>
              <w:t>Pamatnostādņu piemērošana</w:t>
            </w:r>
            <w:r w:rsidR="00132582" w:rsidRPr="00132582">
              <w:rPr>
                <w:b/>
              </w:rPr>
              <w:t xml:space="preserve"> </w:t>
            </w:r>
          </w:p>
          <w:p w14:paraId="06812C38" w14:textId="77777777" w:rsidR="00132582" w:rsidRDefault="00132582" w:rsidP="001A3C5A">
            <w:pPr>
              <w:pStyle w:val="Default"/>
              <w:jc w:val="both"/>
            </w:pPr>
          </w:p>
          <w:p w14:paraId="248A2787" w14:textId="7E2D42C9" w:rsidR="003D1498" w:rsidRDefault="0045619F" w:rsidP="002A449E">
            <w:pPr>
              <w:pStyle w:val="Default"/>
              <w:spacing w:after="240"/>
              <w:jc w:val="both"/>
            </w:pPr>
            <w:r>
              <w:t>Pamatnostādnes piemēro no 202</w:t>
            </w:r>
            <w:r w:rsidR="00722505">
              <w:t>1</w:t>
            </w:r>
            <w:r>
              <w:t>.</w:t>
            </w:r>
            <w:r w:rsidR="003D1498">
              <w:t xml:space="preserve"> </w:t>
            </w:r>
            <w:r>
              <w:t xml:space="preserve">gada </w:t>
            </w:r>
            <w:r w:rsidR="00722505">
              <w:t>24</w:t>
            </w:r>
            <w:r>
              <w:t>.</w:t>
            </w:r>
            <w:r w:rsidR="003D1498">
              <w:t xml:space="preserve"> </w:t>
            </w:r>
            <w:r w:rsidR="00722505">
              <w:t>augusta</w:t>
            </w:r>
            <w:r>
              <w:t>.</w:t>
            </w:r>
          </w:p>
          <w:p w14:paraId="24E4F001" w14:textId="6E28F1CD" w:rsidR="002A449E" w:rsidRDefault="002A449E" w:rsidP="001A3C5A">
            <w:pPr>
              <w:pStyle w:val="Default"/>
              <w:jc w:val="both"/>
            </w:pPr>
            <w:r>
              <w:t xml:space="preserve">Finanšu un kapitāla tirgus komisija paziņo, ka izmantos pamatnostādnes savā darbībā un uzraudzības praksē, piemērojot </w:t>
            </w:r>
            <w:r w:rsidR="00722505" w:rsidRPr="00722505">
              <w:t>Alternatīvo ieguldījumu fondu un to pārvaldnieku likuma 60.pant</w:t>
            </w:r>
            <w:r w:rsidR="00722505">
              <w:t>ā</w:t>
            </w:r>
            <w:r w:rsidR="00722505" w:rsidRPr="00722505">
              <w:t xml:space="preserve"> </w:t>
            </w:r>
            <w:r>
              <w:t>minētās prasības</w:t>
            </w:r>
            <w:r w:rsidR="00722505">
              <w:t xml:space="preserve"> riska novērtējuma īstenošanā</w:t>
            </w:r>
            <w:r>
              <w:t>.</w:t>
            </w:r>
          </w:p>
          <w:p w14:paraId="7DD81407" w14:textId="77777777" w:rsidR="00DD539D" w:rsidRPr="00CA3717" w:rsidRDefault="00DD539D" w:rsidP="00DD539D">
            <w:pPr>
              <w:pStyle w:val="Default"/>
              <w:jc w:val="both"/>
            </w:pPr>
          </w:p>
        </w:tc>
      </w:tr>
    </w:tbl>
    <w:p w14:paraId="438942F6" w14:textId="77777777" w:rsidR="001E2E2A" w:rsidRDefault="001E2E2A"/>
    <w:sectPr w:rsidR="001E2E2A" w:rsidSect="005816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250E1" w14:textId="77777777" w:rsidR="00E656F0" w:rsidRDefault="00E656F0" w:rsidP="00CC7737">
      <w:r>
        <w:separator/>
      </w:r>
    </w:p>
  </w:endnote>
  <w:endnote w:type="continuationSeparator" w:id="0">
    <w:p w14:paraId="63912A97" w14:textId="77777777" w:rsidR="00E656F0" w:rsidRDefault="00E656F0" w:rsidP="00CC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D2D4" w14:textId="77777777" w:rsidR="00CC7737" w:rsidRDefault="00CC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288678"/>
      <w:docPartObj>
        <w:docPartGallery w:val="Page Numbers (Bottom of Page)"/>
        <w:docPartUnique/>
      </w:docPartObj>
    </w:sdtPr>
    <w:sdtEndPr/>
    <w:sdtContent>
      <w:sdt>
        <w:sdtPr>
          <w:id w:val="860082579"/>
          <w:docPartObj>
            <w:docPartGallery w:val="Page Numbers (Top of Page)"/>
            <w:docPartUnique/>
          </w:docPartObj>
        </w:sdtPr>
        <w:sdtEndPr/>
        <w:sdtContent>
          <w:p w14:paraId="7BADE717" w14:textId="77777777" w:rsidR="00CC7737" w:rsidRPr="00CC7737" w:rsidRDefault="00CC7737">
            <w:pPr>
              <w:pStyle w:val="Footer"/>
              <w:jc w:val="right"/>
            </w:pPr>
            <w:r>
              <w:t xml:space="preserve"> </w:t>
            </w:r>
            <w:r w:rsidRPr="00CC7737">
              <w:rPr>
                <w:bCs/>
              </w:rPr>
              <w:fldChar w:fldCharType="begin"/>
            </w:r>
            <w:r w:rsidRPr="00CC7737">
              <w:rPr>
                <w:bCs/>
              </w:rPr>
              <w:instrText xml:space="preserve"> PAGE </w:instrText>
            </w:r>
            <w:r w:rsidRPr="00CC7737">
              <w:rPr>
                <w:bCs/>
              </w:rPr>
              <w:fldChar w:fldCharType="separate"/>
            </w:r>
            <w:r w:rsidR="00D2729B">
              <w:rPr>
                <w:bCs/>
                <w:noProof/>
              </w:rPr>
              <w:t>2</w:t>
            </w:r>
            <w:r w:rsidRPr="00CC7737">
              <w:rPr>
                <w:bCs/>
              </w:rPr>
              <w:fldChar w:fldCharType="end"/>
            </w:r>
            <w:r w:rsidRPr="00CC7737">
              <w:t xml:space="preserve"> - </w:t>
            </w:r>
            <w:r w:rsidRPr="00CC7737">
              <w:rPr>
                <w:bCs/>
              </w:rPr>
              <w:fldChar w:fldCharType="begin"/>
            </w:r>
            <w:r w:rsidRPr="00CC7737">
              <w:rPr>
                <w:bCs/>
              </w:rPr>
              <w:instrText xml:space="preserve"> NUMPAGES  </w:instrText>
            </w:r>
            <w:r w:rsidRPr="00CC7737">
              <w:rPr>
                <w:bCs/>
              </w:rPr>
              <w:fldChar w:fldCharType="separate"/>
            </w:r>
            <w:r w:rsidR="00D2729B">
              <w:rPr>
                <w:bCs/>
                <w:noProof/>
              </w:rPr>
              <w:t>2</w:t>
            </w:r>
            <w:r w:rsidRPr="00CC7737">
              <w:rPr>
                <w:bCs/>
              </w:rPr>
              <w:fldChar w:fldCharType="end"/>
            </w:r>
          </w:p>
        </w:sdtContent>
      </w:sdt>
    </w:sdtContent>
  </w:sdt>
  <w:p w14:paraId="59874C53" w14:textId="77777777" w:rsidR="00CC7737" w:rsidRDefault="00CC7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0AC8" w14:textId="77777777" w:rsidR="00CC7737" w:rsidRDefault="00CC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9086" w14:textId="77777777" w:rsidR="00E656F0" w:rsidRDefault="00E656F0" w:rsidP="00CC7737">
      <w:r>
        <w:separator/>
      </w:r>
    </w:p>
  </w:footnote>
  <w:footnote w:type="continuationSeparator" w:id="0">
    <w:p w14:paraId="1AED78CD" w14:textId="77777777" w:rsidR="00E656F0" w:rsidRDefault="00E656F0" w:rsidP="00CC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3F78" w14:textId="77777777" w:rsidR="00CC7737" w:rsidRDefault="00CC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4C30" w14:textId="77777777" w:rsidR="00CC7737" w:rsidRDefault="00CC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522C" w14:textId="77777777" w:rsidR="00CC7737" w:rsidRDefault="00CC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B48D3"/>
    <w:multiLevelType w:val="hybridMultilevel"/>
    <w:tmpl w:val="71BED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F3DCE"/>
    <w:multiLevelType w:val="hybridMultilevel"/>
    <w:tmpl w:val="2904F386"/>
    <w:lvl w:ilvl="0" w:tplc="04090011">
      <w:start w:val="1"/>
      <w:numFmt w:val="decimal"/>
      <w:lvlText w:val="%1)"/>
      <w:lvlJc w:val="left"/>
      <w:pPr>
        <w:ind w:left="5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F1EBF"/>
    <w:multiLevelType w:val="multilevel"/>
    <w:tmpl w:val="0409001F"/>
    <w:lvl w:ilvl="0">
      <w:start w:val="1"/>
      <w:numFmt w:val="decimal"/>
      <w:lvlText w:val="%1."/>
      <w:lvlJc w:val="left"/>
      <w:pPr>
        <w:ind w:left="502" w:hanging="360"/>
      </w:pPr>
    </w:lvl>
    <w:lvl w:ilvl="1">
      <w:start w:val="1"/>
      <w:numFmt w:val="decimal"/>
      <w:lvlText w:val="%1.%2."/>
      <w:lvlJc w:val="left"/>
      <w:pPr>
        <w:ind w:left="13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2A"/>
    <w:rsid w:val="000328BF"/>
    <w:rsid w:val="00066E42"/>
    <w:rsid w:val="000A24E7"/>
    <w:rsid w:val="00132582"/>
    <w:rsid w:val="00145587"/>
    <w:rsid w:val="001512F5"/>
    <w:rsid w:val="001A3C5A"/>
    <w:rsid w:val="001E23C9"/>
    <w:rsid w:val="001E2E2A"/>
    <w:rsid w:val="001F65D6"/>
    <w:rsid w:val="00241EAA"/>
    <w:rsid w:val="002504B8"/>
    <w:rsid w:val="00297159"/>
    <w:rsid w:val="002A449E"/>
    <w:rsid w:val="002B3F06"/>
    <w:rsid w:val="00326358"/>
    <w:rsid w:val="00365DD0"/>
    <w:rsid w:val="003671BC"/>
    <w:rsid w:val="00380EEC"/>
    <w:rsid w:val="003A157A"/>
    <w:rsid w:val="003D1498"/>
    <w:rsid w:val="003F1AE8"/>
    <w:rsid w:val="00406A93"/>
    <w:rsid w:val="00445CC1"/>
    <w:rsid w:val="0045619F"/>
    <w:rsid w:val="00496715"/>
    <w:rsid w:val="004975FF"/>
    <w:rsid w:val="004B5808"/>
    <w:rsid w:val="00500294"/>
    <w:rsid w:val="005135DF"/>
    <w:rsid w:val="005816ED"/>
    <w:rsid w:val="005D0F78"/>
    <w:rsid w:val="005E0A9A"/>
    <w:rsid w:val="00620EEF"/>
    <w:rsid w:val="0066091D"/>
    <w:rsid w:val="0067545C"/>
    <w:rsid w:val="006D4FB9"/>
    <w:rsid w:val="00722505"/>
    <w:rsid w:val="00734C6B"/>
    <w:rsid w:val="0075078C"/>
    <w:rsid w:val="00783CC0"/>
    <w:rsid w:val="0079718A"/>
    <w:rsid w:val="00872AEE"/>
    <w:rsid w:val="0088260F"/>
    <w:rsid w:val="008A58C1"/>
    <w:rsid w:val="008B7194"/>
    <w:rsid w:val="008D5884"/>
    <w:rsid w:val="008F484A"/>
    <w:rsid w:val="00992CF9"/>
    <w:rsid w:val="00A107E0"/>
    <w:rsid w:val="00A30275"/>
    <w:rsid w:val="00A46042"/>
    <w:rsid w:val="00A6491B"/>
    <w:rsid w:val="00A715FD"/>
    <w:rsid w:val="00A7292A"/>
    <w:rsid w:val="00A943B1"/>
    <w:rsid w:val="00AE0405"/>
    <w:rsid w:val="00B54050"/>
    <w:rsid w:val="00B97A18"/>
    <w:rsid w:val="00BA4ADE"/>
    <w:rsid w:val="00BA52CE"/>
    <w:rsid w:val="00BC1CD0"/>
    <w:rsid w:val="00C62ED9"/>
    <w:rsid w:val="00C67AD4"/>
    <w:rsid w:val="00CC49B9"/>
    <w:rsid w:val="00CC7737"/>
    <w:rsid w:val="00D2729B"/>
    <w:rsid w:val="00D451AA"/>
    <w:rsid w:val="00DD0D58"/>
    <w:rsid w:val="00DD539D"/>
    <w:rsid w:val="00E468FD"/>
    <w:rsid w:val="00E5402A"/>
    <w:rsid w:val="00E656F0"/>
    <w:rsid w:val="00E75E4C"/>
    <w:rsid w:val="00E82F9A"/>
    <w:rsid w:val="00F0580D"/>
    <w:rsid w:val="00F16A1B"/>
    <w:rsid w:val="00F92267"/>
    <w:rsid w:val="00FC723C"/>
    <w:rsid w:val="00FD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D7AC8"/>
  <w15:docId w15:val="{76AC301A-611E-479F-AE7C-8A370712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2A"/>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link w:val="Heading2Char"/>
    <w:autoRedefine/>
    <w:qFormat/>
    <w:rsid w:val="001E2E2A"/>
    <w:pPr>
      <w:keepLines/>
      <w:jc w:val="both"/>
      <w:outlineLvl w:val="1"/>
    </w:pPr>
    <w:rPr>
      <w:rFonts w:eastAsia="Calibri"/>
      <w:color w:val="000000"/>
      <w:lang w:val="x-none" w:eastAsia="x-none"/>
    </w:rPr>
  </w:style>
  <w:style w:type="paragraph" w:styleId="Heading4">
    <w:name w:val="heading 4"/>
    <w:basedOn w:val="Normal"/>
    <w:next w:val="Normal"/>
    <w:link w:val="Heading4Char"/>
    <w:uiPriority w:val="9"/>
    <w:semiHidden/>
    <w:unhideWhenUsed/>
    <w:qFormat/>
    <w:rsid w:val="001A3C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E2A"/>
    <w:rPr>
      <w:rFonts w:ascii="Times New Roman" w:eastAsia="Calibri" w:hAnsi="Times New Roman" w:cs="Times New Roman"/>
      <w:color w:val="000000"/>
      <w:sz w:val="24"/>
      <w:szCs w:val="24"/>
      <w:lang w:val="x-none" w:eastAsia="x-none"/>
    </w:rPr>
  </w:style>
  <w:style w:type="paragraph" w:customStyle="1" w:styleId="Datums">
    <w:name w:val="Datums"/>
    <w:basedOn w:val="Normal"/>
    <w:next w:val="Normal"/>
    <w:rsid w:val="001E2E2A"/>
    <w:pPr>
      <w:spacing w:before="1700"/>
    </w:pPr>
    <w:rPr>
      <w:szCs w:val="20"/>
      <w:lang w:val="en-US"/>
    </w:rPr>
  </w:style>
  <w:style w:type="paragraph" w:customStyle="1" w:styleId="Default">
    <w:name w:val="Default"/>
    <w:rsid w:val="001E2E2A"/>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table" w:styleId="TableGrid">
    <w:name w:val="Table Grid"/>
    <w:basedOn w:val="TableNormal"/>
    <w:uiPriority w:val="59"/>
    <w:rsid w:val="001E2E2A"/>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E2E2A"/>
    <w:pPr>
      <w:spacing w:after="120"/>
    </w:pPr>
  </w:style>
  <w:style w:type="character" w:customStyle="1" w:styleId="BodyTextChar">
    <w:name w:val="Body Text Char"/>
    <w:basedOn w:val="DefaultParagraphFont"/>
    <w:link w:val="BodyText"/>
    <w:uiPriority w:val="99"/>
    <w:rsid w:val="001E2E2A"/>
    <w:rPr>
      <w:rFonts w:ascii="Times New Roman" w:eastAsia="Times New Roman" w:hAnsi="Times New Roman" w:cs="Times New Roman"/>
      <w:sz w:val="24"/>
      <w:szCs w:val="24"/>
      <w:lang w:val="lv-LV"/>
    </w:rPr>
  </w:style>
  <w:style w:type="paragraph" w:styleId="ListParagraph">
    <w:name w:val="List Paragraph"/>
    <w:basedOn w:val="Normal"/>
    <w:uiPriority w:val="34"/>
    <w:qFormat/>
    <w:rsid w:val="001E2E2A"/>
    <w:pPr>
      <w:ind w:left="720"/>
      <w:contextualSpacing/>
    </w:pPr>
  </w:style>
  <w:style w:type="paragraph" w:customStyle="1" w:styleId="tv213">
    <w:name w:val="tv213"/>
    <w:basedOn w:val="Normal"/>
    <w:rsid w:val="001E2E2A"/>
    <w:pPr>
      <w:spacing w:before="100" w:beforeAutospacing="1" w:after="100" w:afterAutospacing="1"/>
    </w:pPr>
    <w:rPr>
      <w:lang w:val="en-US"/>
    </w:rPr>
  </w:style>
  <w:style w:type="character" w:styleId="Hyperlink">
    <w:name w:val="Hyperlink"/>
    <w:basedOn w:val="DefaultParagraphFont"/>
    <w:uiPriority w:val="99"/>
    <w:unhideWhenUsed/>
    <w:rsid w:val="00132582"/>
    <w:rPr>
      <w:color w:val="0000FF" w:themeColor="hyperlink"/>
      <w:u w:val="single"/>
    </w:rPr>
  </w:style>
  <w:style w:type="character" w:styleId="FollowedHyperlink">
    <w:name w:val="FollowedHyperlink"/>
    <w:basedOn w:val="DefaultParagraphFont"/>
    <w:uiPriority w:val="99"/>
    <w:semiHidden/>
    <w:unhideWhenUsed/>
    <w:rsid w:val="00F0580D"/>
    <w:rPr>
      <w:color w:val="800080" w:themeColor="followedHyperlink"/>
      <w:u w:val="single"/>
    </w:rPr>
  </w:style>
  <w:style w:type="character" w:customStyle="1" w:styleId="Heading4Char">
    <w:name w:val="Heading 4 Char"/>
    <w:basedOn w:val="DefaultParagraphFont"/>
    <w:link w:val="Heading4"/>
    <w:uiPriority w:val="9"/>
    <w:semiHidden/>
    <w:rsid w:val="001A3C5A"/>
    <w:rPr>
      <w:rFonts w:asciiTheme="majorHAnsi" w:eastAsiaTheme="majorEastAsia" w:hAnsiTheme="majorHAnsi" w:cstheme="majorBidi"/>
      <w:b/>
      <w:bCs/>
      <w:i/>
      <w:iCs/>
      <w:color w:val="4F81BD" w:themeColor="accent1"/>
      <w:sz w:val="24"/>
      <w:szCs w:val="24"/>
      <w:lang w:val="lv-LV"/>
    </w:rPr>
  </w:style>
  <w:style w:type="paragraph" w:styleId="Header">
    <w:name w:val="header"/>
    <w:basedOn w:val="Normal"/>
    <w:link w:val="HeaderChar"/>
    <w:uiPriority w:val="99"/>
    <w:unhideWhenUsed/>
    <w:rsid w:val="00CC7737"/>
    <w:pPr>
      <w:tabs>
        <w:tab w:val="center" w:pos="4320"/>
        <w:tab w:val="right" w:pos="8640"/>
      </w:tabs>
    </w:pPr>
  </w:style>
  <w:style w:type="character" w:customStyle="1" w:styleId="HeaderChar">
    <w:name w:val="Header Char"/>
    <w:basedOn w:val="DefaultParagraphFont"/>
    <w:link w:val="Header"/>
    <w:uiPriority w:val="99"/>
    <w:rsid w:val="00CC7737"/>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CC7737"/>
    <w:pPr>
      <w:tabs>
        <w:tab w:val="center" w:pos="4320"/>
        <w:tab w:val="right" w:pos="8640"/>
      </w:tabs>
    </w:pPr>
  </w:style>
  <w:style w:type="character" w:customStyle="1" w:styleId="FooterChar">
    <w:name w:val="Footer Char"/>
    <w:basedOn w:val="DefaultParagraphFont"/>
    <w:link w:val="Footer"/>
    <w:uiPriority w:val="99"/>
    <w:rsid w:val="00CC7737"/>
    <w:rPr>
      <w:rFonts w:ascii="Times New Roman" w:eastAsia="Times New Roman" w:hAnsi="Times New Roman" w:cs="Times New Roman"/>
      <w:sz w:val="24"/>
      <w:szCs w:val="24"/>
      <w:lang w:val="lv-LV"/>
    </w:rPr>
  </w:style>
  <w:style w:type="character" w:styleId="CommentReference">
    <w:name w:val="annotation reference"/>
    <w:basedOn w:val="DefaultParagraphFont"/>
    <w:uiPriority w:val="99"/>
    <w:semiHidden/>
    <w:unhideWhenUsed/>
    <w:rsid w:val="00734C6B"/>
    <w:rPr>
      <w:sz w:val="16"/>
      <w:szCs w:val="16"/>
    </w:rPr>
  </w:style>
  <w:style w:type="paragraph" w:styleId="CommentText">
    <w:name w:val="annotation text"/>
    <w:basedOn w:val="Normal"/>
    <w:link w:val="CommentTextChar"/>
    <w:uiPriority w:val="99"/>
    <w:semiHidden/>
    <w:unhideWhenUsed/>
    <w:rsid w:val="00734C6B"/>
    <w:rPr>
      <w:sz w:val="20"/>
      <w:szCs w:val="20"/>
    </w:rPr>
  </w:style>
  <w:style w:type="character" w:customStyle="1" w:styleId="CommentTextChar">
    <w:name w:val="Comment Text Char"/>
    <w:basedOn w:val="DefaultParagraphFont"/>
    <w:link w:val="CommentText"/>
    <w:uiPriority w:val="99"/>
    <w:semiHidden/>
    <w:rsid w:val="00734C6B"/>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34C6B"/>
    <w:rPr>
      <w:b/>
      <w:bCs/>
    </w:rPr>
  </w:style>
  <w:style w:type="character" w:customStyle="1" w:styleId="CommentSubjectChar">
    <w:name w:val="Comment Subject Char"/>
    <w:basedOn w:val="CommentTextChar"/>
    <w:link w:val="CommentSubject"/>
    <w:uiPriority w:val="99"/>
    <w:semiHidden/>
    <w:rsid w:val="00734C6B"/>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734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C6B"/>
    <w:rPr>
      <w:rFonts w:ascii="Segoe UI" w:eastAsia="Times New Roman" w:hAnsi="Segoe UI" w:cs="Segoe UI"/>
      <w:sz w:val="18"/>
      <w:szCs w:val="18"/>
      <w:lang w:val="lv-LV"/>
    </w:rPr>
  </w:style>
  <w:style w:type="character" w:styleId="UnresolvedMention">
    <w:name w:val="Unresolved Mention"/>
    <w:basedOn w:val="DefaultParagraphFont"/>
    <w:uiPriority w:val="99"/>
    <w:semiHidden/>
    <w:unhideWhenUsed/>
    <w:rsid w:val="0072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sma.europa.eu/document/guidelines-article-25-directive-201161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1846</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Nadezda Karpova</dc:creator>
  <cp:lastModifiedBy>Sandra Sedleniece</cp:lastModifiedBy>
  <cp:revision>5</cp:revision>
  <dcterms:created xsi:type="dcterms:W3CDTF">2021-06-30T14:17:00Z</dcterms:created>
  <dcterms:modified xsi:type="dcterms:W3CDTF">2021-07-26T10:11:00Z</dcterms:modified>
</cp:coreProperties>
</file>