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24" w:rsidRPr="00692D67" w:rsidRDefault="008A0724" w:rsidP="008A0724">
      <w:pPr>
        <w:pStyle w:val="Datums"/>
        <w:spacing w:before="0"/>
        <w:rPr>
          <w:b/>
          <w:bCs/>
          <w:szCs w:val="24"/>
          <w:lang w:val="lv-LV"/>
        </w:rPr>
      </w:pPr>
      <w:r w:rsidRPr="00692D67">
        <w:rPr>
          <w:szCs w:val="24"/>
          <w:lang w:val="lv-LV"/>
        </w:rPr>
        <w:t>Rīgā,</w:t>
      </w:r>
      <w:r w:rsidR="0096480B" w:rsidRPr="00692D67">
        <w:rPr>
          <w:szCs w:val="24"/>
          <w:lang w:val="lv-LV"/>
        </w:rPr>
        <w:t xml:space="preserve"> </w:t>
      </w:r>
      <w:r w:rsidR="006554E7">
        <w:rPr>
          <w:szCs w:val="24"/>
          <w:lang w:val="lv-LV"/>
        </w:rPr>
        <w:t>14</w:t>
      </w:r>
      <w:r w:rsidR="00692D67" w:rsidRPr="00692D67">
        <w:rPr>
          <w:szCs w:val="24"/>
          <w:lang w:val="lv-LV"/>
        </w:rPr>
        <w:t>.1</w:t>
      </w:r>
      <w:r w:rsidR="0068055D">
        <w:rPr>
          <w:szCs w:val="24"/>
          <w:lang w:val="lv-LV"/>
        </w:rPr>
        <w:t>2</w:t>
      </w:r>
      <w:r w:rsidR="00C022AC" w:rsidRPr="00692D67">
        <w:rPr>
          <w:szCs w:val="24"/>
          <w:lang w:val="lv-LV"/>
        </w:rPr>
        <w:t>.20</w:t>
      </w:r>
      <w:r w:rsidR="000F00B5" w:rsidRPr="00692D67">
        <w:rPr>
          <w:szCs w:val="24"/>
          <w:lang w:val="lv-LV"/>
        </w:rPr>
        <w:t>20</w:t>
      </w:r>
      <w:r w:rsidRPr="00692D67">
        <w:rPr>
          <w:szCs w:val="24"/>
          <w:lang w:val="lv-LV"/>
        </w:rPr>
        <w:t>.</w:t>
      </w:r>
    </w:p>
    <w:p w:rsidR="008A0724" w:rsidRPr="00692D67" w:rsidRDefault="008A0724" w:rsidP="008A0724">
      <w:pPr>
        <w:rPr>
          <w:sz w:val="22"/>
          <w:szCs w:val="22"/>
        </w:rPr>
      </w:pPr>
    </w:p>
    <w:p w:rsidR="0010699F" w:rsidRPr="00692D67" w:rsidRDefault="008A0724" w:rsidP="0010699F">
      <w:pPr>
        <w:pStyle w:val="BodyText"/>
        <w:tabs>
          <w:tab w:val="left" w:pos="284"/>
        </w:tabs>
        <w:jc w:val="both"/>
        <w:rPr>
          <w:b/>
          <w:sz w:val="28"/>
          <w:szCs w:val="28"/>
        </w:rPr>
      </w:pPr>
      <w:r w:rsidRPr="00692D67">
        <w:rPr>
          <w:b/>
          <w:sz w:val="28"/>
          <w:szCs w:val="28"/>
        </w:rPr>
        <w:t xml:space="preserve">PAZIŅOJUMS PAR EIROPAS VĒRTSPAPĪRU UN TIRGU IESTĀDES PAMATNOSTĀDŅU </w:t>
      </w:r>
      <w:r w:rsidR="00692D67" w:rsidRPr="00692D67">
        <w:rPr>
          <w:b/>
          <w:sz w:val="28"/>
          <w:szCs w:val="28"/>
        </w:rPr>
        <w:t>"Pamatnostādnes par PVKIU un dažu veidu AIF maksu par darbības rezultātu"</w:t>
      </w:r>
      <w:r w:rsidR="0010699F" w:rsidRPr="00692D67">
        <w:rPr>
          <w:b/>
          <w:sz w:val="28"/>
          <w:szCs w:val="28"/>
        </w:rPr>
        <w:t xml:space="preserve"> </w:t>
      </w:r>
      <w:r w:rsidR="00C778EA" w:rsidRPr="00692D67">
        <w:rPr>
          <w:b/>
          <w:sz w:val="28"/>
          <w:szCs w:val="28"/>
        </w:rPr>
        <w:t>IEVIEŠANU</w:t>
      </w:r>
    </w:p>
    <w:p w:rsidR="008A0724" w:rsidRPr="00692D67" w:rsidRDefault="008A0724" w:rsidP="008A0724">
      <w:pPr>
        <w:pStyle w:val="BodyText"/>
        <w:tabs>
          <w:tab w:val="left" w:pos="284"/>
        </w:tabs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7868"/>
      </w:tblGrid>
      <w:tr w:rsidR="008A0724" w:rsidRPr="00692D67" w:rsidTr="006120A8">
        <w:tc>
          <w:tcPr>
            <w:tcW w:w="937" w:type="dxa"/>
          </w:tcPr>
          <w:p w:rsidR="008A0724" w:rsidRPr="00692D67" w:rsidRDefault="008A0724" w:rsidP="006120A8">
            <w:pPr>
              <w:jc w:val="center"/>
            </w:pPr>
            <w:r w:rsidRPr="00692D67">
              <w:t>1.</w:t>
            </w:r>
          </w:p>
        </w:tc>
        <w:tc>
          <w:tcPr>
            <w:tcW w:w="8639" w:type="dxa"/>
          </w:tcPr>
          <w:p w:rsidR="008A0724" w:rsidRPr="00692D67" w:rsidRDefault="008A0724" w:rsidP="006120A8">
            <w:pPr>
              <w:keepNext/>
              <w:keepLines/>
              <w:jc w:val="both"/>
              <w:rPr>
                <w:b/>
              </w:rPr>
            </w:pPr>
            <w:r w:rsidRPr="00692D67">
              <w:rPr>
                <w:b/>
              </w:rPr>
              <w:t>Pamatnostādņu adresāti</w:t>
            </w:r>
          </w:p>
          <w:p w:rsidR="008A0724" w:rsidRPr="00692D67" w:rsidRDefault="008A0724" w:rsidP="006120A8">
            <w:pPr>
              <w:keepNext/>
              <w:keepLines/>
              <w:jc w:val="both"/>
            </w:pPr>
          </w:p>
          <w:p w:rsidR="00A96AB1" w:rsidRPr="00692D67" w:rsidRDefault="008A0724" w:rsidP="00692D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692D67">
              <w:t>Eiropas Vērtspapīru un tirgu iestāde</w:t>
            </w:r>
            <w:r w:rsidR="00524486" w:rsidRPr="00692D67">
              <w:t>s</w:t>
            </w:r>
            <w:r w:rsidRPr="00692D67">
              <w:t xml:space="preserve"> (turpmāk – </w:t>
            </w:r>
            <w:r w:rsidR="00462538" w:rsidRPr="00692D67">
              <w:t>EVTI</w:t>
            </w:r>
            <w:r w:rsidRPr="00692D67">
              <w:t xml:space="preserve">) </w:t>
            </w:r>
            <w:r w:rsidR="00462538" w:rsidRPr="00692D67">
              <w:t>20</w:t>
            </w:r>
            <w:r w:rsidRPr="00692D67">
              <w:t xml:space="preserve">20. gada </w:t>
            </w:r>
            <w:r w:rsidR="00692D67">
              <w:t>5</w:t>
            </w:r>
            <w:r w:rsidR="00790A23" w:rsidRPr="00692D67">
              <w:t xml:space="preserve">. </w:t>
            </w:r>
            <w:r w:rsidR="00692D67">
              <w:t>novembrī</w:t>
            </w:r>
            <w:r w:rsidRPr="00692D67">
              <w:t xml:space="preserve"> publicē</w:t>
            </w:r>
            <w:r w:rsidR="00524486" w:rsidRPr="00692D67">
              <w:t>tās</w:t>
            </w:r>
            <w:r w:rsidRPr="00692D67">
              <w:t xml:space="preserve"> pamatnostādnes </w:t>
            </w:r>
            <w:r w:rsidR="00692D67" w:rsidRPr="00692D67">
              <w:t xml:space="preserve">Nr. ESMA34-39-992 LV "Par PVKIU un dažu veidu AIF maksu par darbības rezultātu" (turpmāk – Pamatnostādnes) </w:t>
            </w:r>
            <w:r w:rsidR="00692D67" w:rsidRPr="00692D67">
              <w:rPr>
                <w:color w:val="0000FF"/>
                <w:u w:val="single"/>
              </w:rPr>
              <w:t>https://www.esma.europa.eu/sites/default/files/library/esma34-39-992_guidelines_on_performance_fees_lv.pdf</w:t>
            </w:r>
            <w:r w:rsidR="00692D67" w:rsidRPr="00692D67">
              <w:rPr>
                <w:rFonts w:eastAsia="Calibri"/>
                <w:color w:val="000000"/>
              </w:rPr>
              <w:t>.</w:t>
            </w:r>
            <w:r w:rsidR="009674A3" w:rsidRPr="00692D67">
              <w:t xml:space="preserve">, </w:t>
            </w:r>
            <w:r w:rsidRPr="00692D67">
              <w:t>attiecas uz</w:t>
            </w:r>
            <w:r w:rsidR="00A96AB1" w:rsidRPr="00692D67">
              <w:t>:</w:t>
            </w:r>
          </w:p>
          <w:p w:rsidR="00A96AB1" w:rsidRPr="00692D67" w:rsidRDefault="00790A23" w:rsidP="00A96AB1">
            <w:pPr>
              <w:pStyle w:val="Default"/>
              <w:keepNext/>
              <w:keepLines/>
              <w:numPr>
                <w:ilvl w:val="0"/>
                <w:numId w:val="3"/>
              </w:numPr>
              <w:jc w:val="both"/>
            </w:pPr>
            <w:r w:rsidRPr="00692D67">
              <w:t>ieguldījumu pārvaldes sabiedrībām, kas pārvalda ieguldījumu fondus</w:t>
            </w:r>
            <w:r w:rsidR="00A96AB1" w:rsidRPr="00692D67">
              <w:t>;</w:t>
            </w:r>
          </w:p>
          <w:p w:rsidR="00A96AB1" w:rsidRPr="00692D67" w:rsidRDefault="00790A23" w:rsidP="00A96AB1">
            <w:pPr>
              <w:pStyle w:val="Default"/>
              <w:keepNext/>
              <w:keepLines/>
              <w:numPr>
                <w:ilvl w:val="0"/>
                <w:numId w:val="3"/>
              </w:numPr>
              <w:jc w:val="both"/>
            </w:pPr>
            <w:r w:rsidRPr="00692D67">
              <w:t>alternatīvo ieguldījumu fondu</w:t>
            </w:r>
            <w:r w:rsidR="00E97F4E" w:rsidRPr="00692D67">
              <w:t xml:space="preserve"> (turpmāk – AIF)</w:t>
            </w:r>
            <w:r w:rsidRPr="00692D67">
              <w:t xml:space="preserve"> pārvaldniekiem</w:t>
            </w:r>
            <w:r w:rsidR="00E97F4E" w:rsidRPr="00692D67">
              <w:t xml:space="preserve">, </w:t>
            </w:r>
            <w:r w:rsidR="00206323">
              <w:t>kuru AIF ieguldījumu daļas tiek piedāvātas</w:t>
            </w:r>
            <w:r w:rsidR="00076B70">
              <w:t xml:space="preserve"> ieguldītājiem, kuri nav profesionāli ieguldītāji, </w:t>
            </w:r>
            <w:r w:rsidR="00E97F4E" w:rsidRPr="00692D67">
              <w:t xml:space="preserve">izņemot </w:t>
            </w:r>
            <w:r w:rsidR="00A96AB1" w:rsidRPr="00692D67">
              <w:t xml:space="preserve">pārvaldniekus, kuri pārvalda </w:t>
            </w:r>
            <w:r w:rsidR="00E97F4E" w:rsidRPr="00692D67">
              <w:t>slēgto</w:t>
            </w:r>
            <w:r w:rsidR="00A96AB1" w:rsidRPr="00692D67">
              <w:t>s</w:t>
            </w:r>
            <w:r w:rsidR="00E97F4E" w:rsidRPr="00692D67">
              <w:t xml:space="preserve"> AIF</w:t>
            </w:r>
            <w:r w:rsidR="00206323">
              <w:t xml:space="preserve">, Eiropas Riska kapitāla fondus, </w:t>
            </w:r>
            <w:r w:rsidR="00206323" w:rsidRPr="00206323">
              <w:t>Eiropas sociālās uzņēmējdarbības fondu</w:t>
            </w:r>
            <w:r w:rsidR="00206323">
              <w:t>s, atvērtos AIF ar privātā kapitāla ieguldījumu stratēģiju vai</w:t>
            </w:r>
            <w:r w:rsidR="00206323" w:rsidRPr="00206323">
              <w:rPr>
                <w:rFonts w:eastAsia="Times New Roman"/>
                <w:color w:val="auto"/>
                <w:lang w:eastAsia="en-US"/>
              </w:rPr>
              <w:t xml:space="preserve"> </w:t>
            </w:r>
            <w:r w:rsidR="00206323" w:rsidRPr="00206323">
              <w:t xml:space="preserve">atvērtos AIF ar </w:t>
            </w:r>
            <w:r w:rsidR="00206323">
              <w:t>nekustamā īpašuma</w:t>
            </w:r>
            <w:r w:rsidR="00206323" w:rsidRPr="00206323">
              <w:t xml:space="preserve"> ieguldījumu stratēģiju</w:t>
            </w:r>
            <w:r w:rsidR="00A96AB1" w:rsidRPr="00692D67">
              <w:t>;</w:t>
            </w:r>
          </w:p>
          <w:p w:rsidR="008A0724" w:rsidRPr="00692D67" w:rsidRDefault="008A0724" w:rsidP="00A96AB1">
            <w:pPr>
              <w:pStyle w:val="Default"/>
              <w:keepNext/>
              <w:keepLines/>
              <w:numPr>
                <w:ilvl w:val="0"/>
                <w:numId w:val="3"/>
              </w:numPr>
              <w:jc w:val="both"/>
            </w:pPr>
            <w:r w:rsidRPr="00692D67">
              <w:t>kompetentajām iestādēm (Latvijā –</w:t>
            </w:r>
            <w:r w:rsidR="00C022AC" w:rsidRPr="00692D67">
              <w:t xml:space="preserve"> </w:t>
            </w:r>
            <w:r w:rsidRPr="00692D67">
              <w:t>Finanšu un kap</w:t>
            </w:r>
            <w:r w:rsidR="00D917CA" w:rsidRPr="00692D67">
              <w:t>itāla tirgus komisij</w:t>
            </w:r>
            <w:r w:rsidR="00C022AC" w:rsidRPr="00692D67">
              <w:t>a</w:t>
            </w:r>
            <w:r w:rsidR="00D917CA" w:rsidRPr="00692D67">
              <w:t>)</w:t>
            </w:r>
            <w:r w:rsidRPr="00692D67">
              <w:t>.</w:t>
            </w:r>
          </w:p>
          <w:p w:rsidR="008A0724" w:rsidRPr="00692D67" w:rsidRDefault="008A0724" w:rsidP="006120A8">
            <w:pPr>
              <w:pStyle w:val="Default"/>
              <w:keepNext/>
              <w:keepLines/>
              <w:jc w:val="both"/>
            </w:pPr>
          </w:p>
        </w:tc>
      </w:tr>
      <w:tr w:rsidR="008A0724" w:rsidRPr="00692D67" w:rsidTr="006120A8">
        <w:tc>
          <w:tcPr>
            <w:tcW w:w="937" w:type="dxa"/>
          </w:tcPr>
          <w:p w:rsidR="008A0724" w:rsidRPr="00692D67" w:rsidRDefault="008A0724" w:rsidP="006120A8">
            <w:pPr>
              <w:jc w:val="center"/>
            </w:pPr>
            <w:r w:rsidRPr="00692D67">
              <w:t>2.</w:t>
            </w:r>
          </w:p>
        </w:tc>
        <w:tc>
          <w:tcPr>
            <w:tcW w:w="8639" w:type="dxa"/>
          </w:tcPr>
          <w:p w:rsidR="008A0724" w:rsidRPr="00692D67" w:rsidRDefault="008A0724" w:rsidP="006120A8">
            <w:pPr>
              <w:rPr>
                <w:b/>
              </w:rPr>
            </w:pPr>
            <w:r w:rsidRPr="00692D67">
              <w:rPr>
                <w:b/>
              </w:rPr>
              <w:t>Tiesību aktu prasības, kuru izpild</w:t>
            </w:r>
            <w:r w:rsidR="001F0A1D" w:rsidRPr="00692D67">
              <w:rPr>
                <w:b/>
              </w:rPr>
              <w:t>ē</w:t>
            </w:r>
            <w:r w:rsidRPr="00692D67">
              <w:rPr>
                <w:b/>
              </w:rPr>
              <w:t xml:space="preserve"> ir jāievēro Pamatnostādnes</w:t>
            </w:r>
          </w:p>
          <w:p w:rsidR="008A0724" w:rsidRPr="00692D67" w:rsidRDefault="008A0724" w:rsidP="006120A8">
            <w:pPr>
              <w:jc w:val="both"/>
              <w:rPr>
                <w:b/>
              </w:rPr>
            </w:pPr>
          </w:p>
          <w:p w:rsidR="0047707A" w:rsidRPr="0047707A" w:rsidRDefault="00CB1194" w:rsidP="0047707A">
            <w:pPr>
              <w:jc w:val="both"/>
            </w:pPr>
            <w:r>
              <w:t>I</w:t>
            </w:r>
            <w:r w:rsidR="00F715BB" w:rsidRPr="00F715BB">
              <w:t xml:space="preserve">eguldījumu fondu un </w:t>
            </w:r>
            <w:r w:rsidR="00F715BB">
              <w:t>AIF</w:t>
            </w:r>
            <w:r w:rsidR="00F715BB" w:rsidRPr="00F715BB">
              <w:t xml:space="preserve"> pārvaldnieki </w:t>
            </w:r>
            <w:r w:rsidR="00F715BB">
              <w:t xml:space="preserve">ievēro </w:t>
            </w:r>
            <w:r w:rsidR="00F715BB" w:rsidRPr="00F715BB">
              <w:t>pienākum</w:t>
            </w:r>
            <w:r w:rsidR="00F715BB">
              <w:t>u</w:t>
            </w:r>
            <w:r w:rsidR="00F715BB" w:rsidRPr="00F715BB">
              <w:t xml:space="preserve"> rīkoties taisnīgi kā godīgam, gādīgam</w:t>
            </w:r>
            <w:r>
              <w:t>,</w:t>
            </w:r>
            <w:r w:rsidR="00F715BB" w:rsidRPr="00F715BB">
              <w:t xml:space="preserve"> rūpīgam saimniekam un nodrošin</w:t>
            </w:r>
            <w:r>
              <w:t>a</w:t>
            </w:r>
            <w:r w:rsidR="00F715BB" w:rsidRPr="00F715BB">
              <w:t xml:space="preserve">, </w:t>
            </w:r>
            <w:r>
              <w:t>ka</w:t>
            </w:r>
            <w:r w:rsidR="00F715BB" w:rsidRPr="00F715BB">
              <w:t xml:space="preserve"> pakalpojumi ti</w:t>
            </w:r>
            <w:r>
              <w:t>ek</w:t>
            </w:r>
            <w:r w:rsidR="00F715BB" w:rsidRPr="00F715BB">
              <w:t xml:space="preserve"> sniegti ar pienācīgu profesionalitāti un rūpību fonda un fonda ieguldītāju </w:t>
            </w:r>
            <w:r w:rsidR="00F715BB" w:rsidRPr="00470489">
              <w:t>interesēs</w:t>
            </w:r>
            <w:r w:rsidR="009A7DA7">
              <w:t xml:space="preserve"> (turpmāk - godīgas prakses principi)</w:t>
            </w:r>
            <w:r w:rsidR="00470489" w:rsidRPr="00470489">
              <w:rPr>
                <w:color w:val="41414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470489" w:rsidRPr="00470489">
              <w:rPr>
                <w:color w:val="414142"/>
                <w:shd w:val="clear" w:color="auto" w:fill="FFFFFF"/>
                <w:lang w:eastAsia="en-US"/>
              </w:rPr>
              <w:t>un</w:t>
            </w:r>
            <w:r w:rsidR="00470489" w:rsidRPr="00470489">
              <w:t> ka fonda ieguldītājiem netiek noteiktas nepamatotas izmaksas</w:t>
            </w:r>
            <w:r w:rsidR="00470489">
              <w:t>, tostarp,</w:t>
            </w:r>
            <w:r>
              <w:t xml:space="preserve"> </w:t>
            </w:r>
            <w:r w:rsidRPr="00CB1194">
              <w:t xml:space="preserve">attiecībā uz maksām, ko ieguldījumu fondu un </w:t>
            </w:r>
            <w:r w:rsidR="0047707A">
              <w:t>AIF</w:t>
            </w:r>
            <w:r w:rsidRPr="00CB1194">
              <w:t xml:space="preserve"> pārvaldnieki nosaka par fond</w:t>
            </w:r>
            <w:r w:rsidR="00470489">
              <w:t>a</w:t>
            </w:r>
            <w:r w:rsidRPr="00CB1194">
              <w:t xml:space="preserve"> darbības rezultātiem</w:t>
            </w:r>
            <w:r w:rsidR="00470489">
              <w:t xml:space="preserve"> un</w:t>
            </w:r>
            <w:r w:rsidR="00470489" w:rsidRPr="0047048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70489" w:rsidRPr="00470489">
              <w:t>informācijas par maksu piemērošanu atklāšanu ieguldītājiem</w:t>
            </w:r>
            <w:r w:rsidR="0047707A">
              <w:t xml:space="preserve">. </w:t>
            </w:r>
            <w:r w:rsidR="0047707A" w:rsidRPr="0047707A">
              <w:t>Turpmāk minētie tiesību akti nosaka šo pienākumu:</w:t>
            </w:r>
          </w:p>
          <w:p w:rsidR="00E12F28" w:rsidRPr="00692D67" w:rsidRDefault="00E12F28" w:rsidP="00E12F28">
            <w:pPr>
              <w:tabs>
                <w:tab w:val="left" w:pos="342"/>
              </w:tabs>
              <w:jc w:val="both"/>
            </w:pPr>
            <w:r w:rsidRPr="00692D67">
              <w:t xml:space="preserve">1) </w:t>
            </w:r>
            <w:r w:rsidR="00C62784" w:rsidRPr="00692D67">
              <w:t>ieguldījumu pārvaldes sabiedrībām saskaņā ar Ieguldījumu pārvaldes sabiedrību</w:t>
            </w:r>
            <w:r w:rsidR="00C62784">
              <w:t xml:space="preserve"> likuma 13.</w:t>
            </w:r>
            <w:r w:rsidR="00C62784" w:rsidRPr="002D06F6">
              <w:rPr>
                <w:vertAlign w:val="superscript"/>
              </w:rPr>
              <w:t>1</w:t>
            </w:r>
            <w:r w:rsidR="00C62784">
              <w:t>, 56. un 57.</w:t>
            </w:r>
            <w:r w:rsidR="00C62784" w:rsidRPr="00470489">
              <w:rPr>
                <w:vertAlign w:val="superscript"/>
              </w:rPr>
              <w:t>1</w:t>
            </w:r>
            <w:r w:rsidR="00C62784">
              <w:rPr>
                <w:vertAlign w:val="superscript"/>
              </w:rPr>
              <w:t xml:space="preserve"> </w:t>
            </w:r>
            <w:r w:rsidR="00C62784">
              <w:t>pantu</w:t>
            </w:r>
            <w:r w:rsidR="00C62784" w:rsidRPr="00692D67">
              <w:t xml:space="preserve"> </w:t>
            </w:r>
            <w:r w:rsidR="00C62784">
              <w:t>un Komisijas Regulas (ES) Nr. 583/2010 (2010. gada 1. jūlijs) ar ko īsteno Eiropas Parlamenta un Padomes Direktīvu 2009/65/EK attiecībā uz ieguldītājiem paredzēto pamatinformāciju un nosacījumiem, kuri jāievēro, nodrošinot ieguldītājiem pamatinformāciju vai prospektu pastāvīgā informācijas nesējā, kas nav papīrs, vai tīmekļa vietnē 10., 12. un 14. pantu</w:t>
            </w:r>
            <w:r w:rsidR="00C62784" w:rsidRPr="00692D67">
              <w:t>;</w:t>
            </w:r>
            <w:r w:rsidR="00C62784">
              <w:t xml:space="preserve"> </w:t>
            </w:r>
          </w:p>
          <w:p w:rsidR="00E12F28" w:rsidRPr="00692D67" w:rsidRDefault="00E12F28" w:rsidP="00E12F28"/>
          <w:p w:rsidR="008A0724" w:rsidRPr="00692D67" w:rsidRDefault="00E12F28" w:rsidP="00C77BE8">
            <w:pPr>
              <w:jc w:val="both"/>
              <w:rPr>
                <w:sz w:val="22"/>
                <w:szCs w:val="22"/>
              </w:rPr>
            </w:pPr>
            <w:r w:rsidRPr="00692D67">
              <w:t xml:space="preserve">2) </w:t>
            </w:r>
            <w:r w:rsidR="00C62784" w:rsidRPr="00692D67">
              <w:t>AIF pārvaldniekiem saskaņā ar Alternatīvo ieguldījumu fondu un to pārvaldnieku likuma 2</w:t>
            </w:r>
            <w:r w:rsidR="00C62784">
              <w:t>2</w:t>
            </w:r>
            <w:r w:rsidR="00C62784" w:rsidRPr="00692D67">
              <w:t>.</w:t>
            </w:r>
            <w:r w:rsidR="00C77BE8">
              <w:t xml:space="preserve"> un 58.</w:t>
            </w:r>
            <w:r w:rsidR="00C62784" w:rsidRPr="00692D67">
              <w:t xml:space="preserve"> pantu</w:t>
            </w:r>
            <w:r w:rsidR="00C77BE8">
              <w:t>.</w:t>
            </w:r>
          </w:p>
        </w:tc>
      </w:tr>
      <w:tr w:rsidR="008A0724" w:rsidRPr="00692D67" w:rsidTr="006120A8">
        <w:tc>
          <w:tcPr>
            <w:tcW w:w="937" w:type="dxa"/>
          </w:tcPr>
          <w:p w:rsidR="008A0724" w:rsidRPr="00692D67" w:rsidRDefault="008A0724" w:rsidP="006120A8">
            <w:pPr>
              <w:jc w:val="center"/>
              <w:rPr>
                <w:highlight w:val="yellow"/>
              </w:rPr>
            </w:pPr>
            <w:r w:rsidRPr="00692D67">
              <w:t>3.</w:t>
            </w:r>
          </w:p>
        </w:tc>
        <w:tc>
          <w:tcPr>
            <w:tcW w:w="8639" w:type="dxa"/>
          </w:tcPr>
          <w:p w:rsidR="008A0724" w:rsidRPr="00692D67" w:rsidRDefault="008A0724" w:rsidP="006120A8">
            <w:pPr>
              <w:rPr>
                <w:b/>
              </w:rPr>
            </w:pPr>
            <w:r w:rsidRPr="00692D67">
              <w:rPr>
                <w:b/>
              </w:rPr>
              <w:t>Pamatnostādņu mērķis un būtība</w:t>
            </w:r>
          </w:p>
          <w:p w:rsidR="008A0724" w:rsidRPr="006554E7" w:rsidRDefault="006A6F51" w:rsidP="006554E7">
            <w:pPr>
              <w:jc w:val="both"/>
              <w:rPr>
                <w:b/>
              </w:rPr>
            </w:pPr>
            <w:r w:rsidRPr="006A6F51">
              <w:t>Eiropas Vērtspapīru un tirgu iestāde</w:t>
            </w:r>
            <w:r w:rsidR="009A7DA7">
              <w:t xml:space="preserve"> ir</w:t>
            </w:r>
            <w:r w:rsidRPr="006A6F51">
              <w:t xml:space="preserve"> izstrādājusi šīs Pamatnostādnes</w:t>
            </w:r>
            <w:r>
              <w:t>, l</w:t>
            </w:r>
            <w:r w:rsidRPr="006A6F51">
              <w:t xml:space="preserve">ai panāktu konsekventu, efektīvu un konstruktīvu uzraudzības praksi Eiropas </w:t>
            </w:r>
            <w:r w:rsidRPr="006A6F51">
              <w:lastRenderedPageBreak/>
              <w:t>finanšu uzraudzības sistēmā un nodrošinātu kopēju, vienveidīgu un konsekventu Savienības tiesību aktu piemērošanu</w:t>
            </w:r>
            <w:r>
              <w:t>. Pamatnostādņu mērķis ir</w:t>
            </w:r>
            <w:r w:rsidR="002E1FA8" w:rsidRPr="002E1FA8">
              <w:t xml:space="preserve"> panākt lielāku konverģenci un standartizāciju attiecībā uz maksām, ko ieguldījumu fondu un </w:t>
            </w:r>
            <w:r>
              <w:t>AIF</w:t>
            </w:r>
            <w:r w:rsidR="002E1FA8" w:rsidRPr="002E1FA8">
              <w:t xml:space="preserve"> pārvaldnieki nosaka par fondu darbības rezultātiem, šo maksu modeļiem, aprēķinu un informācijas par maksu piemērošanu atklāšanu ieguldītājiem,</w:t>
            </w:r>
            <w:r>
              <w:t xml:space="preserve"> lai nodrošinātu</w:t>
            </w:r>
            <w:r w:rsidR="009A7DA7">
              <w:t>, ka</w:t>
            </w:r>
            <w:r w:rsidR="002E1FA8" w:rsidRPr="002E1FA8">
              <w:t xml:space="preserve"> </w:t>
            </w:r>
            <w:r w:rsidR="009A7DA7">
              <w:t xml:space="preserve">minēto maksu modeļi atbilst godīgas prakses principiem un </w:t>
            </w:r>
            <w:r w:rsidR="009A7DA7" w:rsidRPr="009A7DA7">
              <w:t>fonda ieguldītājiem netiek noteiktas nepamatotas izmaksas</w:t>
            </w:r>
            <w:r w:rsidR="009A7DA7">
              <w:t>.</w:t>
            </w:r>
            <w:r w:rsidR="009A7DA7" w:rsidRPr="009A7DA7">
              <w:t xml:space="preserve"> </w:t>
            </w:r>
            <w:bookmarkStart w:id="0" w:name="_GoBack"/>
            <w:bookmarkEnd w:id="0"/>
          </w:p>
        </w:tc>
      </w:tr>
      <w:tr w:rsidR="008A0724" w:rsidRPr="00692D67" w:rsidTr="006120A8">
        <w:tc>
          <w:tcPr>
            <w:tcW w:w="937" w:type="dxa"/>
          </w:tcPr>
          <w:p w:rsidR="008A0724" w:rsidRPr="00692D67" w:rsidRDefault="008A0724" w:rsidP="006120A8">
            <w:pPr>
              <w:jc w:val="center"/>
            </w:pPr>
            <w:r w:rsidRPr="00692D67">
              <w:lastRenderedPageBreak/>
              <w:t>4.</w:t>
            </w:r>
          </w:p>
        </w:tc>
        <w:tc>
          <w:tcPr>
            <w:tcW w:w="8639" w:type="dxa"/>
          </w:tcPr>
          <w:p w:rsidR="008A0724" w:rsidRPr="00692D67" w:rsidRDefault="008A0724" w:rsidP="006120A8">
            <w:pPr>
              <w:rPr>
                <w:b/>
              </w:rPr>
            </w:pPr>
            <w:r w:rsidRPr="00692D67">
              <w:rPr>
                <w:b/>
              </w:rPr>
              <w:t xml:space="preserve">Atsauce uz Pamatnostādņu tekstu </w:t>
            </w:r>
          </w:p>
          <w:p w:rsidR="008A0724" w:rsidRPr="00692D67" w:rsidRDefault="008A0724" w:rsidP="006120A8">
            <w:pPr>
              <w:rPr>
                <w:sz w:val="22"/>
                <w:szCs w:val="22"/>
              </w:rPr>
            </w:pPr>
          </w:p>
          <w:p w:rsidR="008A0724" w:rsidRPr="00692D67" w:rsidRDefault="008A0724" w:rsidP="00AF1841">
            <w:pPr>
              <w:pStyle w:val="Default"/>
              <w:jc w:val="both"/>
              <w:rPr>
                <w:rFonts w:eastAsia="Times New Roman"/>
              </w:rPr>
            </w:pPr>
            <w:r w:rsidRPr="00692D67">
              <w:rPr>
                <w:rFonts w:eastAsia="Times New Roman"/>
                <w:color w:val="auto"/>
                <w:lang w:eastAsia="en-US"/>
              </w:rPr>
              <w:t xml:space="preserve">Pamatnostādņu teksts ir pieejams </w:t>
            </w:r>
            <w:r w:rsidR="00D75CD6" w:rsidRPr="00692D67">
              <w:rPr>
                <w:rFonts w:eastAsia="Times New Roman"/>
                <w:color w:val="auto"/>
                <w:lang w:eastAsia="en-US"/>
              </w:rPr>
              <w:t xml:space="preserve">Eiropas Vērtspapīru un tirgu iestādes </w:t>
            </w:r>
            <w:r w:rsidRPr="00692D67">
              <w:rPr>
                <w:rFonts w:eastAsia="Times New Roman"/>
                <w:color w:val="auto"/>
                <w:lang w:eastAsia="en-US"/>
              </w:rPr>
              <w:t>tīmekļa vietnē:</w:t>
            </w:r>
            <w:r w:rsidR="00204770" w:rsidRPr="00692D67">
              <w:rPr>
                <w:rFonts w:eastAsia="Times New Roman"/>
              </w:rPr>
              <w:t xml:space="preserve"> </w:t>
            </w:r>
          </w:p>
          <w:p w:rsidR="00AF1841" w:rsidRDefault="00957BC0" w:rsidP="00AF1841">
            <w:pPr>
              <w:pStyle w:val="Default"/>
              <w:jc w:val="both"/>
              <w:rPr>
                <w:rStyle w:val="Hyperlink"/>
              </w:rPr>
            </w:pPr>
            <w:r w:rsidRPr="00957BC0">
              <w:rPr>
                <w:rStyle w:val="Hyperlink"/>
              </w:rPr>
              <w:t xml:space="preserve">https://www.esma.europa.eu/document/guidelines-performance-fees-in-ucits-and-certain-types-aifs </w:t>
            </w:r>
          </w:p>
          <w:p w:rsidR="00957BC0" w:rsidRPr="00692D67" w:rsidRDefault="00957BC0" w:rsidP="00AF1841">
            <w:pPr>
              <w:pStyle w:val="Default"/>
              <w:jc w:val="both"/>
            </w:pPr>
          </w:p>
        </w:tc>
      </w:tr>
      <w:tr w:rsidR="008A0724" w:rsidRPr="00692D67" w:rsidTr="006120A8">
        <w:tc>
          <w:tcPr>
            <w:tcW w:w="937" w:type="dxa"/>
          </w:tcPr>
          <w:p w:rsidR="008A0724" w:rsidRPr="00692D67" w:rsidRDefault="008A0724" w:rsidP="006120A8">
            <w:pPr>
              <w:jc w:val="center"/>
            </w:pPr>
            <w:r w:rsidRPr="00692D67">
              <w:t>5.</w:t>
            </w:r>
          </w:p>
        </w:tc>
        <w:tc>
          <w:tcPr>
            <w:tcW w:w="8639" w:type="dxa"/>
          </w:tcPr>
          <w:p w:rsidR="008A0724" w:rsidRPr="00692D67" w:rsidRDefault="008A0724" w:rsidP="006120A8">
            <w:pPr>
              <w:rPr>
                <w:b/>
              </w:rPr>
            </w:pPr>
            <w:r w:rsidRPr="00692D67">
              <w:rPr>
                <w:b/>
              </w:rPr>
              <w:t xml:space="preserve">Pamatnostādņu piemērošana </w:t>
            </w:r>
          </w:p>
          <w:p w:rsidR="008A0724" w:rsidRPr="00692D67" w:rsidRDefault="008A0724" w:rsidP="006120A8">
            <w:pPr>
              <w:rPr>
                <w:sz w:val="22"/>
                <w:szCs w:val="22"/>
              </w:rPr>
            </w:pPr>
          </w:p>
          <w:p w:rsidR="00684ED3" w:rsidRPr="00692D67" w:rsidRDefault="00684ED3" w:rsidP="00957BC0">
            <w:pPr>
              <w:pStyle w:val="Default"/>
              <w:jc w:val="both"/>
            </w:pPr>
            <w:r w:rsidRPr="00692D67">
              <w:rPr>
                <w:rFonts w:eastAsia="Times New Roman"/>
                <w:color w:val="auto"/>
                <w:lang w:eastAsia="en-US"/>
              </w:rPr>
              <w:t xml:space="preserve">Finanšu un kapitāla tirgus komisija paziņo, ka izmantos Pamatnostādnes savā darbībā un uzraudzības praksē, piemērojot </w:t>
            </w:r>
            <w:r w:rsidR="00AF1841" w:rsidRPr="00692D67">
              <w:t>šajā paziņojumā minētos tiesību aktus</w:t>
            </w:r>
            <w:r w:rsidRPr="00692D67">
              <w:rPr>
                <w:rFonts w:eastAsia="Times New Roman"/>
                <w:color w:val="auto"/>
                <w:lang w:eastAsia="en-US"/>
              </w:rPr>
              <w:t>, un sagaida, ka ieguldījumu pārvaldes sabiedrības un alternatīvo ieguldījumu fondu pārvaldnieki</w:t>
            </w:r>
            <w:r w:rsidR="00AF1841" w:rsidRPr="00692D67">
              <w:rPr>
                <w:rFonts w:eastAsia="Times New Roman"/>
                <w:color w:val="auto"/>
                <w:lang w:eastAsia="en-US"/>
              </w:rPr>
              <w:t xml:space="preserve"> </w:t>
            </w:r>
            <w:r w:rsidRPr="00692D67">
              <w:rPr>
                <w:rFonts w:eastAsia="Times New Roman"/>
                <w:color w:val="auto"/>
                <w:lang w:eastAsia="en-US"/>
              </w:rPr>
              <w:t>ievēros Pamatnostādnēs noteikto.</w:t>
            </w:r>
          </w:p>
        </w:tc>
      </w:tr>
    </w:tbl>
    <w:p w:rsidR="00EC60AD" w:rsidRPr="00692D67" w:rsidRDefault="00EC60AD" w:rsidP="000F00B5"/>
    <w:sectPr w:rsidR="00EC60AD" w:rsidRPr="00692D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35C2"/>
    <w:multiLevelType w:val="hybridMultilevel"/>
    <w:tmpl w:val="15048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C2A"/>
    <w:multiLevelType w:val="hybridMultilevel"/>
    <w:tmpl w:val="AD808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7956"/>
    <w:multiLevelType w:val="hybridMultilevel"/>
    <w:tmpl w:val="EAFC8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50E27"/>
    <w:multiLevelType w:val="hybridMultilevel"/>
    <w:tmpl w:val="3DF67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9086A"/>
    <w:multiLevelType w:val="hybridMultilevel"/>
    <w:tmpl w:val="8CF2B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72B67"/>
    <w:multiLevelType w:val="hybridMultilevel"/>
    <w:tmpl w:val="15FE2780"/>
    <w:lvl w:ilvl="0" w:tplc="2B6429F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6" w:hanging="360"/>
      </w:pPr>
    </w:lvl>
    <w:lvl w:ilvl="2" w:tplc="0409001B" w:tentative="1">
      <w:start w:val="1"/>
      <w:numFmt w:val="lowerRoman"/>
      <w:lvlText w:val="%3."/>
      <w:lvlJc w:val="right"/>
      <w:pPr>
        <w:ind w:left="1856" w:hanging="180"/>
      </w:pPr>
    </w:lvl>
    <w:lvl w:ilvl="3" w:tplc="0409000F" w:tentative="1">
      <w:start w:val="1"/>
      <w:numFmt w:val="decimal"/>
      <w:lvlText w:val="%4."/>
      <w:lvlJc w:val="left"/>
      <w:pPr>
        <w:ind w:left="2576" w:hanging="360"/>
      </w:pPr>
    </w:lvl>
    <w:lvl w:ilvl="4" w:tplc="04090019" w:tentative="1">
      <w:start w:val="1"/>
      <w:numFmt w:val="lowerLetter"/>
      <w:lvlText w:val="%5."/>
      <w:lvlJc w:val="left"/>
      <w:pPr>
        <w:ind w:left="3296" w:hanging="360"/>
      </w:pPr>
    </w:lvl>
    <w:lvl w:ilvl="5" w:tplc="0409001B" w:tentative="1">
      <w:start w:val="1"/>
      <w:numFmt w:val="lowerRoman"/>
      <w:lvlText w:val="%6."/>
      <w:lvlJc w:val="right"/>
      <w:pPr>
        <w:ind w:left="4016" w:hanging="180"/>
      </w:pPr>
    </w:lvl>
    <w:lvl w:ilvl="6" w:tplc="0409000F" w:tentative="1">
      <w:start w:val="1"/>
      <w:numFmt w:val="decimal"/>
      <w:lvlText w:val="%7."/>
      <w:lvlJc w:val="left"/>
      <w:pPr>
        <w:ind w:left="4736" w:hanging="360"/>
      </w:pPr>
    </w:lvl>
    <w:lvl w:ilvl="7" w:tplc="04090019" w:tentative="1">
      <w:start w:val="1"/>
      <w:numFmt w:val="lowerLetter"/>
      <w:lvlText w:val="%8."/>
      <w:lvlJc w:val="left"/>
      <w:pPr>
        <w:ind w:left="5456" w:hanging="360"/>
      </w:pPr>
    </w:lvl>
    <w:lvl w:ilvl="8" w:tplc="040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24"/>
    <w:rsid w:val="00076B70"/>
    <w:rsid w:val="000F00B5"/>
    <w:rsid w:val="000F724A"/>
    <w:rsid w:val="0010699F"/>
    <w:rsid w:val="001424B9"/>
    <w:rsid w:val="00194084"/>
    <w:rsid w:val="001F0A1D"/>
    <w:rsid w:val="00203D5A"/>
    <w:rsid w:val="00204770"/>
    <w:rsid w:val="00206323"/>
    <w:rsid w:val="00260061"/>
    <w:rsid w:val="00277FEA"/>
    <w:rsid w:val="0028440F"/>
    <w:rsid w:val="00285F09"/>
    <w:rsid w:val="002C01B4"/>
    <w:rsid w:val="002D06F6"/>
    <w:rsid w:val="002D7F1E"/>
    <w:rsid w:val="002E1FA8"/>
    <w:rsid w:val="00356395"/>
    <w:rsid w:val="003A07C5"/>
    <w:rsid w:val="003D1C6B"/>
    <w:rsid w:val="003D7ADF"/>
    <w:rsid w:val="003F55F2"/>
    <w:rsid w:val="0040688E"/>
    <w:rsid w:val="00412C5A"/>
    <w:rsid w:val="00415DC7"/>
    <w:rsid w:val="004342B3"/>
    <w:rsid w:val="0043651E"/>
    <w:rsid w:val="00462538"/>
    <w:rsid w:val="00470489"/>
    <w:rsid w:val="0047707A"/>
    <w:rsid w:val="00480D02"/>
    <w:rsid w:val="00524486"/>
    <w:rsid w:val="00561C31"/>
    <w:rsid w:val="005F35F6"/>
    <w:rsid w:val="006168A2"/>
    <w:rsid w:val="006554E7"/>
    <w:rsid w:val="00672DFB"/>
    <w:rsid w:val="00673CF8"/>
    <w:rsid w:val="0068055D"/>
    <w:rsid w:val="00684ED3"/>
    <w:rsid w:val="00692D67"/>
    <w:rsid w:val="006A6F51"/>
    <w:rsid w:val="006E36AB"/>
    <w:rsid w:val="007527A7"/>
    <w:rsid w:val="00790A23"/>
    <w:rsid w:val="007C2340"/>
    <w:rsid w:val="007D0504"/>
    <w:rsid w:val="00813A8B"/>
    <w:rsid w:val="008347F6"/>
    <w:rsid w:val="00837FF5"/>
    <w:rsid w:val="008A0724"/>
    <w:rsid w:val="008F35DD"/>
    <w:rsid w:val="00935B26"/>
    <w:rsid w:val="00957BC0"/>
    <w:rsid w:val="0096480B"/>
    <w:rsid w:val="009674A3"/>
    <w:rsid w:val="00991ADF"/>
    <w:rsid w:val="009A7DA7"/>
    <w:rsid w:val="009E5A85"/>
    <w:rsid w:val="009F63D2"/>
    <w:rsid w:val="00A437CD"/>
    <w:rsid w:val="00A96AB1"/>
    <w:rsid w:val="00AB05FC"/>
    <w:rsid w:val="00AF1841"/>
    <w:rsid w:val="00B01CCB"/>
    <w:rsid w:val="00B15597"/>
    <w:rsid w:val="00B66A57"/>
    <w:rsid w:val="00B9282E"/>
    <w:rsid w:val="00BD4181"/>
    <w:rsid w:val="00C022AC"/>
    <w:rsid w:val="00C62784"/>
    <w:rsid w:val="00C778EA"/>
    <w:rsid w:val="00C77BE8"/>
    <w:rsid w:val="00CB1194"/>
    <w:rsid w:val="00CD0E70"/>
    <w:rsid w:val="00D05D56"/>
    <w:rsid w:val="00D361FD"/>
    <w:rsid w:val="00D75CD6"/>
    <w:rsid w:val="00D917CA"/>
    <w:rsid w:val="00DC0115"/>
    <w:rsid w:val="00DD2757"/>
    <w:rsid w:val="00DE7171"/>
    <w:rsid w:val="00E12F28"/>
    <w:rsid w:val="00E97F4E"/>
    <w:rsid w:val="00EC60AD"/>
    <w:rsid w:val="00F52863"/>
    <w:rsid w:val="00F7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2C4586-05A1-4F03-915A-A06E5173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ums">
    <w:name w:val="Datums"/>
    <w:basedOn w:val="Normal"/>
    <w:next w:val="Normal"/>
    <w:rsid w:val="008A0724"/>
    <w:pPr>
      <w:spacing w:before="1700"/>
    </w:pPr>
    <w:rPr>
      <w:szCs w:val="20"/>
      <w:lang w:val="en-US"/>
    </w:rPr>
  </w:style>
  <w:style w:type="paragraph" w:customStyle="1" w:styleId="Default">
    <w:name w:val="Default"/>
    <w:rsid w:val="008A07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8A07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A07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0724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8A07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CA"/>
    <w:rPr>
      <w:rFonts w:ascii="Tahoma" w:eastAsia="Times New Roman" w:hAnsi="Tahoma" w:cs="Tahoma"/>
      <w:sz w:val="16"/>
      <w:szCs w:val="16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967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Goldberga</dc:creator>
  <cp:lastModifiedBy>Sandra Sedleniece</cp:lastModifiedBy>
  <cp:revision>13</cp:revision>
  <cp:lastPrinted>2020-03-06T07:47:00Z</cp:lastPrinted>
  <dcterms:created xsi:type="dcterms:W3CDTF">2020-09-10T05:50:00Z</dcterms:created>
  <dcterms:modified xsi:type="dcterms:W3CDTF">2020-12-14T10:02:00Z</dcterms:modified>
</cp:coreProperties>
</file>