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24" w:rsidRPr="008347F6" w:rsidRDefault="008A0724" w:rsidP="008A0724">
      <w:pPr>
        <w:pStyle w:val="Datums"/>
        <w:spacing w:before="0"/>
        <w:rPr>
          <w:b/>
          <w:bCs/>
          <w:szCs w:val="24"/>
          <w:lang w:val="lv-LV"/>
        </w:rPr>
      </w:pPr>
      <w:r w:rsidRPr="008347F6">
        <w:rPr>
          <w:szCs w:val="24"/>
          <w:lang w:val="lv-LV"/>
        </w:rPr>
        <w:t>Rīgā,</w:t>
      </w:r>
      <w:r w:rsidR="0096480B" w:rsidRPr="008347F6">
        <w:rPr>
          <w:szCs w:val="24"/>
          <w:lang w:val="lv-LV"/>
        </w:rPr>
        <w:t xml:space="preserve"> </w:t>
      </w:r>
      <w:r w:rsidR="00790A23" w:rsidRPr="008347F6">
        <w:rPr>
          <w:szCs w:val="24"/>
          <w:lang w:val="lv-LV"/>
        </w:rPr>
        <w:t>15.09</w:t>
      </w:r>
      <w:r w:rsidR="00C022AC" w:rsidRPr="008347F6">
        <w:rPr>
          <w:szCs w:val="24"/>
          <w:lang w:val="lv-LV"/>
        </w:rPr>
        <w:t>.20</w:t>
      </w:r>
      <w:r w:rsidR="000F00B5" w:rsidRPr="008347F6">
        <w:rPr>
          <w:szCs w:val="24"/>
          <w:lang w:val="lv-LV"/>
        </w:rPr>
        <w:t>20</w:t>
      </w:r>
      <w:r w:rsidRPr="008347F6">
        <w:rPr>
          <w:szCs w:val="24"/>
          <w:lang w:val="lv-LV"/>
        </w:rPr>
        <w:t>.</w:t>
      </w:r>
    </w:p>
    <w:p w:rsidR="008A0724" w:rsidRPr="008347F6" w:rsidRDefault="008A0724" w:rsidP="008A0724">
      <w:pPr>
        <w:rPr>
          <w:sz w:val="22"/>
          <w:szCs w:val="22"/>
        </w:rPr>
      </w:pPr>
    </w:p>
    <w:p w:rsidR="0010699F" w:rsidRPr="008347F6" w:rsidRDefault="008A0724" w:rsidP="0010699F">
      <w:pPr>
        <w:pStyle w:val="BodyText"/>
        <w:tabs>
          <w:tab w:val="left" w:pos="284"/>
        </w:tabs>
        <w:jc w:val="both"/>
        <w:rPr>
          <w:b/>
          <w:sz w:val="28"/>
          <w:szCs w:val="28"/>
        </w:rPr>
      </w:pPr>
      <w:r w:rsidRPr="008347F6">
        <w:rPr>
          <w:b/>
          <w:sz w:val="28"/>
          <w:szCs w:val="28"/>
        </w:rPr>
        <w:t xml:space="preserve">PAZIŅOJUMS PAR EIROPAS VĒRTSPAPĪRU UN TIRGU IESTĀDES PAMATNOSTĀDŅU </w:t>
      </w:r>
      <w:r w:rsidR="0010699F" w:rsidRPr="008347F6">
        <w:rPr>
          <w:b/>
          <w:sz w:val="28"/>
          <w:szCs w:val="28"/>
        </w:rPr>
        <w:t xml:space="preserve">"Pamatnostādnes par </w:t>
      </w:r>
      <w:r w:rsidR="00790A23" w:rsidRPr="008347F6">
        <w:rPr>
          <w:b/>
          <w:sz w:val="28"/>
          <w:szCs w:val="28"/>
        </w:rPr>
        <w:t>PVKIU un AIF likviditātes stresa testiem</w:t>
      </w:r>
      <w:r w:rsidR="0010699F" w:rsidRPr="008347F6">
        <w:rPr>
          <w:b/>
          <w:sz w:val="28"/>
          <w:szCs w:val="28"/>
        </w:rPr>
        <w:t xml:space="preserve">" </w:t>
      </w:r>
      <w:r w:rsidR="00C778EA" w:rsidRPr="008347F6">
        <w:rPr>
          <w:b/>
          <w:sz w:val="28"/>
          <w:szCs w:val="28"/>
        </w:rPr>
        <w:t>IEVIEŠANU</w:t>
      </w:r>
    </w:p>
    <w:p w:rsidR="008A0724" w:rsidRPr="008347F6" w:rsidRDefault="008A0724" w:rsidP="008A0724">
      <w:pPr>
        <w:pStyle w:val="BodyText"/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7922"/>
      </w:tblGrid>
      <w:tr w:rsidR="008A0724" w:rsidRPr="008347F6" w:rsidTr="006120A8">
        <w:tc>
          <w:tcPr>
            <w:tcW w:w="937" w:type="dxa"/>
          </w:tcPr>
          <w:p w:rsidR="008A0724" w:rsidRPr="008347F6" w:rsidRDefault="008A0724" w:rsidP="006120A8">
            <w:pPr>
              <w:jc w:val="center"/>
            </w:pPr>
            <w:r w:rsidRPr="008347F6">
              <w:t>1.</w:t>
            </w:r>
          </w:p>
        </w:tc>
        <w:tc>
          <w:tcPr>
            <w:tcW w:w="8639" w:type="dxa"/>
          </w:tcPr>
          <w:p w:rsidR="008A0724" w:rsidRPr="008347F6" w:rsidRDefault="008A0724" w:rsidP="006120A8">
            <w:pPr>
              <w:keepNext/>
              <w:keepLines/>
              <w:jc w:val="both"/>
              <w:rPr>
                <w:b/>
              </w:rPr>
            </w:pPr>
            <w:r w:rsidRPr="008347F6">
              <w:rPr>
                <w:b/>
              </w:rPr>
              <w:t>Pamatnostādņu adresāti</w:t>
            </w:r>
          </w:p>
          <w:p w:rsidR="008A0724" w:rsidRPr="008347F6" w:rsidRDefault="008A0724" w:rsidP="006120A8">
            <w:pPr>
              <w:keepNext/>
              <w:keepLines/>
              <w:jc w:val="both"/>
            </w:pPr>
          </w:p>
          <w:p w:rsidR="00A96AB1" w:rsidRPr="008347F6" w:rsidRDefault="008A0724" w:rsidP="00C022AC">
            <w:pPr>
              <w:pStyle w:val="Default"/>
              <w:keepNext/>
              <w:keepLines/>
              <w:jc w:val="both"/>
              <w:rPr>
                <w:color w:val="0000FF" w:themeColor="hyperlink"/>
                <w:u w:val="single"/>
              </w:rPr>
            </w:pPr>
            <w:r w:rsidRPr="008347F6">
              <w:t>Eiropas Vērtspapīru un tirgu iestāde</w:t>
            </w:r>
            <w:r w:rsidR="00524486" w:rsidRPr="008347F6">
              <w:t>s</w:t>
            </w:r>
            <w:r w:rsidRPr="008347F6">
              <w:t xml:space="preserve"> (turpmāk – </w:t>
            </w:r>
            <w:r w:rsidR="00462538" w:rsidRPr="008347F6">
              <w:t>EVTI</w:t>
            </w:r>
            <w:r w:rsidRPr="008347F6">
              <w:t xml:space="preserve">) </w:t>
            </w:r>
            <w:r w:rsidR="00462538" w:rsidRPr="008347F6">
              <w:t>20</w:t>
            </w:r>
            <w:r w:rsidRPr="008347F6">
              <w:t xml:space="preserve">20. gada </w:t>
            </w:r>
            <w:r w:rsidR="00790A23" w:rsidRPr="008347F6">
              <w:t>16. jūl</w:t>
            </w:r>
            <w:r w:rsidR="0010699F" w:rsidRPr="008347F6">
              <w:t>ijā</w:t>
            </w:r>
            <w:r w:rsidRPr="008347F6">
              <w:t xml:space="preserve"> publicē</w:t>
            </w:r>
            <w:r w:rsidR="00524486" w:rsidRPr="008347F6">
              <w:t>tās</w:t>
            </w:r>
            <w:r w:rsidRPr="008347F6">
              <w:t xml:space="preserve"> pamatnostādnes </w:t>
            </w:r>
            <w:r w:rsidR="0010699F" w:rsidRPr="008347F6">
              <w:t>Nr. ESMA34-</w:t>
            </w:r>
            <w:r w:rsidR="00790A23" w:rsidRPr="008347F6">
              <w:t>3</w:t>
            </w:r>
            <w:r w:rsidR="0010699F" w:rsidRPr="008347F6">
              <w:t>9-</w:t>
            </w:r>
            <w:r w:rsidR="00790A23" w:rsidRPr="008347F6">
              <w:t xml:space="preserve">897 </w:t>
            </w:r>
            <w:r w:rsidR="0010699F" w:rsidRPr="008347F6">
              <w:t xml:space="preserve">LV </w:t>
            </w:r>
            <w:r w:rsidR="00790A23" w:rsidRPr="008347F6">
              <w:t>"Par PVKIU un AIF likviditātes stresa testiem"</w:t>
            </w:r>
            <w:r w:rsidR="0010699F" w:rsidRPr="008347F6">
              <w:t xml:space="preserve"> (turpmāk – Pamatnostādnes) </w:t>
            </w:r>
            <w:hyperlink r:id="rId5" w:history="1">
              <w:r w:rsidR="007D0504" w:rsidRPr="008347F6">
                <w:rPr>
                  <w:rStyle w:val="Hyperlink"/>
                </w:rPr>
                <w:t>https://www.esma.europa.eu/sites/default/files/library/esma34-39-897_guidelines_on_liquidity_stress_testing_in_ucits_and_aifs_lv.pdf</w:t>
              </w:r>
            </w:hyperlink>
            <w:r w:rsidR="009674A3" w:rsidRPr="008347F6">
              <w:t xml:space="preserve">, </w:t>
            </w:r>
            <w:r w:rsidRPr="008347F6">
              <w:t>attiecas uz</w:t>
            </w:r>
            <w:r w:rsidR="00A96AB1" w:rsidRPr="008347F6">
              <w:t>:</w:t>
            </w:r>
          </w:p>
          <w:p w:rsidR="00A96AB1" w:rsidRPr="008347F6" w:rsidRDefault="00790A23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8347F6">
              <w:t>ieguldījumu pārvaldes sabiedrībām, kas pārvalda ieguldījumu fondus</w:t>
            </w:r>
            <w:r w:rsidR="00A96AB1" w:rsidRPr="008347F6">
              <w:t>;</w:t>
            </w:r>
          </w:p>
          <w:p w:rsidR="00A96AB1" w:rsidRPr="008347F6" w:rsidRDefault="00790A23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8347F6">
              <w:t>alternatīvo ieguldījumu fondu</w:t>
            </w:r>
            <w:r w:rsidR="00E97F4E" w:rsidRPr="008347F6">
              <w:t xml:space="preserve"> (turpmāk – AIF)</w:t>
            </w:r>
            <w:r w:rsidRPr="008347F6">
              <w:t xml:space="preserve"> pārvaldniekiem</w:t>
            </w:r>
            <w:r w:rsidR="00E97F4E" w:rsidRPr="008347F6">
              <w:t xml:space="preserve">, izņemot </w:t>
            </w:r>
            <w:r w:rsidR="00A96AB1" w:rsidRPr="008347F6">
              <w:t xml:space="preserve">pārvaldniekus, kuri pārvalda </w:t>
            </w:r>
            <w:r w:rsidR="00E97F4E" w:rsidRPr="008347F6">
              <w:t>slēgto</w:t>
            </w:r>
            <w:r w:rsidR="00A96AB1" w:rsidRPr="008347F6">
              <w:t>s</w:t>
            </w:r>
            <w:r w:rsidR="00E97F4E" w:rsidRPr="008347F6">
              <w:t xml:space="preserve"> AIF bez sviras finansējuma</w:t>
            </w:r>
            <w:r w:rsidR="00A96AB1" w:rsidRPr="008347F6">
              <w:t>;</w:t>
            </w:r>
          </w:p>
          <w:p w:rsidR="00A96AB1" w:rsidRPr="008347F6" w:rsidRDefault="00A96AB1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8347F6">
              <w:t>minēto fondu turētājbankām;</w:t>
            </w:r>
          </w:p>
          <w:p w:rsidR="008A0724" w:rsidRPr="008347F6" w:rsidRDefault="008A0724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8347F6">
              <w:t>kompetentajām iestādēm (Latvijā –</w:t>
            </w:r>
            <w:r w:rsidR="00C022AC" w:rsidRPr="008347F6">
              <w:t xml:space="preserve"> </w:t>
            </w:r>
            <w:r w:rsidRPr="008347F6">
              <w:t>Finanšu un kap</w:t>
            </w:r>
            <w:r w:rsidR="00D917CA" w:rsidRPr="008347F6">
              <w:t>itāla tirgus komisij</w:t>
            </w:r>
            <w:r w:rsidR="00C022AC" w:rsidRPr="008347F6">
              <w:t>a</w:t>
            </w:r>
            <w:r w:rsidR="00D917CA" w:rsidRPr="008347F6">
              <w:t>)</w:t>
            </w:r>
            <w:r w:rsidRPr="008347F6">
              <w:t>.</w:t>
            </w:r>
          </w:p>
          <w:p w:rsidR="008A0724" w:rsidRPr="008347F6" w:rsidRDefault="008A0724" w:rsidP="006120A8">
            <w:pPr>
              <w:pStyle w:val="Default"/>
              <w:keepNext/>
              <w:keepLines/>
              <w:jc w:val="both"/>
            </w:pPr>
          </w:p>
        </w:tc>
      </w:tr>
      <w:tr w:rsidR="008A0724" w:rsidRPr="008347F6" w:rsidTr="006120A8">
        <w:tc>
          <w:tcPr>
            <w:tcW w:w="937" w:type="dxa"/>
          </w:tcPr>
          <w:p w:rsidR="008A0724" w:rsidRPr="008347F6" w:rsidRDefault="008A0724" w:rsidP="006120A8">
            <w:pPr>
              <w:jc w:val="center"/>
            </w:pPr>
            <w:r w:rsidRPr="008347F6">
              <w:t>2.</w:t>
            </w:r>
          </w:p>
        </w:tc>
        <w:tc>
          <w:tcPr>
            <w:tcW w:w="8639" w:type="dxa"/>
          </w:tcPr>
          <w:p w:rsidR="008A0724" w:rsidRPr="008347F6" w:rsidRDefault="008A0724" w:rsidP="006120A8">
            <w:pPr>
              <w:rPr>
                <w:b/>
              </w:rPr>
            </w:pPr>
            <w:r w:rsidRPr="008347F6">
              <w:rPr>
                <w:b/>
              </w:rPr>
              <w:t>Tiesību aktu prasības, kuru izpild</w:t>
            </w:r>
            <w:r w:rsidR="001F0A1D" w:rsidRPr="008347F6">
              <w:rPr>
                <w:b/>
              </w:rPr>
              <w:t>ē</w:t>
            </w:r>
            <w:r w:rsidRPr="008347F6">
              <w:rPr>
                <w:b/>
              </w:rPr>
              <w:t xml:space="preserve"> ir jāievēro Pamatnostādnes</w:t>
            </w:r>
          </w:p>
          <w:p w:rsidR="008A0724" w:rsidRPr="008347F6" w:rsidRDefault="008A0724" w:rsidP="006120A8">
            <w:pPr>
              <w:jc w:val="both"/>
              <w:rPr>
                <w:b/>
              </w:rPr>
            </w:pPr>
          </w:p>
          <w:p w:rsidR="000F724A" w:rsidRPr="008347F6" w:rsidRDefault="000F724A" w:rsidP="006120A8">
            <w:pPr>
              <w:jc w:val="both"/>
            </w:pPr>
            <w:r w:rsidRPr="008347F6">
              <w:t xml:space="preserve">Lai nodrošinātu </w:t>
            </w:r>
            <w:r w:rsidR="00356395" w:rsidRPr="008347F6">
              <w:t xml:space="preserve">spēju izpildīt </w:t>
            </w:r>
            <w:r w:rsidR="00E12F28" w:rsidRPr="008347F6">
              <w:t xml:space="preserve">ieguldījumu </w:t>
            </w:r>
            <w:r w:rsidR="00356395" w:rsidRPr="008347F6">
              <w:t xml:space="preserve">fonda prospektā vai </w:t>
            </w:r>
            <w:r w:rsidR="00E12F28" w:rsidRPr="008347F6">
              <w:t xml:space="preserve">AIF </w:t>
            </w:r>
            <w:r w:rsidR="00356395" w:rsidRPr="008347F6">
              <w:t xml:space="preserve">darbības noteikumos paredzētās saistības pret ieguldītājiem, </w:t>
            </w:r>
            <w:r w:rsidRPr="008347F6">
              <w:t xml:space="preserve">ieguldījumu fondu un AIF </w:t>
            </w:r>
            <w:r w:rsidR="00356395" w:rsidRPr="008347F6">
              <w:t xml:space="preserve">pārvaldniekiem ir pienākums izveidot un īstenot efektīvu </w:t>
            </w:r>
            <w:r w:rsidRPr="008347F6">
              <w:t xml:space="preserve">likviditātes risku </w:t>
            </w:r>
            <w:r w:rsidR="00356395" w:rsidRPr="008347F6">
              <w:t>kontroles procesu, kas ietver</w:t>
            </w:r>
            <w:r w:rsidR="00E12F28" w:rsidRPr="008347F6">
              <w:t xml:space="preserve"> stresa testēšanu likviditātes risku novērtēšanai kritiskās situācijās.</w:t>
            </w:r>
            <w:r w:rsidR="00356395" w:rsidRPr="008347F6">
              <w:t xml:space="preserve"> </w:t>
            </w:r>
            <w:r w:rsidR="00E12F28" w:rsidRPr="008347F6">
              <w:t>T</w:t>
            </w:r>
            <w:r w:rsidR="00356395" w:rsidRPr="008347F6">
              <w:t xml:space="preserve">urpmāk minētie tiesību akti </w:t>
            </w:r>
            <w:r w:rsidR="00E12F28" w:rsidRPr="008347F6">
              <w:t>nosaka</w:t>
            </w:r>
            <w:r w:rsidR="00DD2757" w:rsidRPr="008347F6">
              <w:t xml:space="preserve"> šo pienākumu</w:t>
            </w:r>
            <w:r w:rsidR="00E12F28" w:rsidRPr="008347F6">
              <w:t>:</w:t>
            </w:r>
          </w:p>
          <w:p w:rsidR="00E12F28" w:rsidRPr="008347F6" w:rsidRDefault="00E12F28" w:rsidP="00E12F28">
            <w:pPr>
              <w:tabs>
                <w:tab w:val="left" w:pos="342"/>
              </w:tabs>
              <w:jc w:val="both"/>
            </w:pPr>
          </w:p>
          <w:p w:rsidR="00E12F28" w:rsidRPr="008347F6" w:rsidRDefault="00E12F28" w:rsidP="00E12F28">
            <w:pPr>
              <w:tabs>
                <w:tab w:val="left" w:pos="342"/>
              </w:tabs>
              <w:jc w:val="both"/>
            </w:pPr>
            <w:r w:rsidRPr="008347F6">
              <w:t xml:space="preserve">1) </w:t>
            </w:r>
            <w:r w:rsidR="00837FF5" w:rsidRPr="008347F6">
              <w:t xml:space="preserve">AIF pārvaldniekiem saskaņā ar </w:t>
            </w:r>
            <w:r w:rsidR="00D361FD" w:rsidRPr="008347F6">
              <w:t>Alternatīvo ieguldījumu fondu un to pārvaldnieku likuma 26. pant</w:t>
            </w:r>
            <w:r w:rsidRPr="008347F6">
              <w:t>u</w:t>
            </w:r>
            <w:r w:rsidR="00D361FD" w:rsidRPr="008347F6">
              <w:t>, Komisijas deleģētās</w:t>
            </w:r>
            <w:r w:rsidR="00D05D56" w:rsidRPr="008347F6">
              <w:t xml:space="preserve"> regulas Nr. 231/2013 (2012.19.12.) ar ko papildina Eiropas Parlamenta un Padomes Direktīvu 2011/61/ES attiecībā uz atbrīvojumiem, vispārējiem darbības nosacījumiem, depozitārijiem, saistību īpatsvaru, pārskatāmību un uzraudzību </w:t>
            </w:r>
            <w:r w:rsidR="00DD2757" w:rsidRPr="008347F6">
              <w:t xml:space="preserve">(turpmāk </w:t>
            </w:r>
            <w:r w:rsidR="008F35DD" w:rsidRPr="008347F6">
              <w:t>–</w:t>
            </w:r>
            <w:r w:rsidR="00DD2757" w:rsidRPr="008347F6">
              <w:t xml:space="preserve"> Regula</w:t>
            </w:r>
            <w:r w:rsidR="008F35DD" w:rsidRPr="008347F6">
              <w:t xml:space="preserve"> </w:t>
            </w:r>
            <w:r w:rsidR="00D05D56" w:rsidRPr="008347F6">
              <w:t>Nr. 231</w:t>
            </w:r>
            <w:r w:rsidR="008F35DD" w:rsidRPr="008347F6">
              <w:t xml:space="preserve">/2013) </w:t>
            </w:r>
            <w:r w:rsidR="00D05D56" w:rsidRPr="008347F6">
              <w:t>47. un 48. pant</w:t>
            </w:r>
            <w:r w:rsidRPr="008347F6">
              <w:t>u;</w:t>
            </w:r>
          </w:p>
          <w:p w:rsidR="00E12F28" w:rsidRPr="008347F6" w:rsidRDefault="00E12F28" w:rsidP="00E12F28"/>
          <w:p w:rsidR="00E12F28" w:rsidRPr="008347F6" w:rsidRDefault="00E12F28" w:rsidP="00E12F28">
            <w:pPr>
              <w:jc w:val="both"/>
            </w:pPr>
            <w:r w:rsidRPr="008347F6">
              <w:t>2) ieguldījumu pārvaldes sabiedrībām saskaņā ar</w:t>
            </w:r>
            <w:r w:rsidR="00D05D56" w:rsidRPr="008347F6">
              <w:t xml:space="preserve"> </w:t>
            </w:r>
            <w:r w:rsidR="00D361FD" w:rsidRPr="008347F6">
              <w:t>Ieguldījumu pārvaldes sabiedrību iekšējās kontroles sistēmas izveides normatīv</w:t>
            </w:r>
            <w:r w:rsidR="00F52863">
              <w:t>aj</w:t>
            </w:r>
            <w:r w:rsidR="00D361FD" w:rsidRPr="008347F6">
              <w:t>ie</w:t>
            </w:r>
            <w:r w:rsidR="00F52863">
              <w:t>m</w:t>
            </w:r>
            <w:r w:rsidR="00D361FD" w:rsidRPr="008347F6">
              <w:t xml:space="preserve"> noteikumi</w:t>
            </w:r>
            <w:r w:rsidRPr="008347F6">
              <w:t>em</w:t>
            </w:r>
            <w:r w:rsidR="00D361FD" w:rsidRPr="008347F6">
              <w:t>, kas ievieš Eiropas Parlamenta un Padomes direktīvas 2009/65/E</w:t>
            </w:r>
            <w:r w:rsidR="00D05D56" w:rsidRPr="008347F6">
              <w:t>K</w:t>
            </w:r>
            <w:r w:rsidR="00D361FD" w:rsidRPr="008347F6">
              <w:t xml:space="preserve"> </w:t>
            </w:r>
            <w:r w:rsidR="00D05D56" w:rsidRPr="008347F6">
              <w:t>(13.07.2009</w:t>
            </w:r>
            <w:r w:rsidR="00F52863">
              <w:t>.</w:t>
            </w:r>
            <w:r w:rsidR="00D05D56" w:rsidRPr="008347F6">
              <w:t xml:space="preserve">) </w:t>
            </w:r>
            <w:r w:rsidR="00D361FD" w:rsidRPr="008347F6">
              <w:t>par normatīvo un administratīvo aktu koordināciju attiecībā uz pārvedamu vērtspapīru kolektīvo ieguldījumu uzņēmumiem (PVKIU) 51. pantu</w:t>
            </w:r>
            <w:r w:rsidR="00D05D56" w:rsidRPr="008347F6">
              <w:t xml:space="preserve"> un Komisijas direktīvas Nr. 2010/43/ES 40.</w:t>
            </w:r>
            <w:r w:rsidRPr="008347F6">
              <w:t xml:space="preserve"> </w:t>
            </w:r>
            <w:r w:rsidR="00D05D56" w:rsidRPr="008347F6">
              <w:t>panta 3. punktu</w:t>
            </w:r>
            <w:r w:rsidRPr="008347F6">
              <w:t>;</w:t>
            </w:r>
          </w:p>
          <w:p w:rsidR="00203D5A" w:rsidRPr="008347F6" w:rsidRDefault="00203D5A" w:rsidP="00E12F28">
            <w:pPr>
              <w:jc w:val="both"/>
            </w:pPr>
          </w:p>
          <w:p w:rsidR="00203D5A" w:rsidRPr="008347F6" w:rsidRDefault="00203D5A" w:rsidP="00203D5A">
            <w:pPr>
              <w:tabs>
                <w:tab w:val="left" w:pos="342"/>
              </w:tabs>
              <w:jc w:val="both"/>
            </w:pPr>
            <w:r w:rsidRPr="008347F6">
              <w:t xml:space="preserve">3) </w:t>
            </w:r>
            <w:r w:rsidR="00E12F28" w:rsidRPr="008347F6">
              <w:t>naudas tirgus fonda</w:t>
            </w:r>
            <w:r w:rsidRPr="008347F6">
              <w:t xml:space="preserve"> pārvaldniek</w:t>
            </w:r>
            <w:r w:rsidR="00DD2757" w:rsidRPr="008347F6">
              <w:t>ie</w:t>
            </w:r>
            <w:r w:rsidRPr="008347F6">
              <w:t>m</w:t>
            </w:r>
            <w:r w:rsidR="00DD2757" w:rsidRPr="008347F6">
              <w:t xml:space="preserve"> saskaņā </w:t>
            </w:r>
            <w:proofErr w:type="gramStart"/>
            <w:r w:rsidR="00DD2757" w:rsidRPr="008347F6">
              <w:t>ar</w:t>
            </w:r>
            <w:r w:rsidRPr="008347F6">
              <w:t xml:space="preserve"> </w:t>
            </w:r>
            <w:r w:rsidR="00D05D56" w:rsidRPr="008347F6">
              <w:t>Eiropas Parlamenta un Padomes</w:t>
            </w:r>
            <w:proofErr w:type="gramEnd"/>
            <w:r w:rsidR="00D05D56" w:rsidRPr="008347F6">
              <w:t xml:space="preserve"> </w:t>
            </w:r>
            <w:r w:rsidR="00DD2757" w:rsidRPr="008347F6">
              <w:t>r</w:t>
            </w:r>
            <w:r w:rsidRPr="008347F6">
              <w:t>egul</w:t>
            </w:r>
            <w:r w:rsidR="00DD2757" w:rsidRPr="008347F6">
              <w:t xml:space="preserve">as </w:t>
            </w:r>
            <w:r w:rsidR="00F52863" w:rsidRPr="008347F6">
              <w:t xml:space="preserve">2017/1131 (14.06.2017.) </w:t>
            </w:r>
            <w:r w:rsidR="00DD2757" w:rsidRPr="008347F6">
              <w:t xml:space="preserve">par naudas tirgus fondiem </w:t>
            </w:r>
            <w:r w:rsidRPr="008347F6">
              <w:t xml:space="preserve">28. </w:t>
            </w:r>
            <w:r w:rsidR="00DD2757" w:rsidRPr="008347F6">
              <w:t>pantu.</w:t>
            </w:r>
          </w:p>
          <w:p w:rsidR="00203D5A" w:rsidRPr="008347F6" w:rsidRDefault="00203D5A" w:rsidP="00203D5A">
            <w:pPr>
              <w:tabs>
                <w:tab w:val="left" w:pos="342"/>
              </w:tabs>
              <w:jc w:val="both"/>
            </w:pPr>
          </w:p>
          <w:p w:rsidR="00203D5A" w:rsidRPr="008347F6" w:rsidRDefault="008347F6" w:rsidP="00203D5A">
            <w:pPr>
              <w:tabs>
                <w:tab w:val="left" w:pos="342"/>
              </w:tabs>
              <w:jc w:val="both"/>
            </w:pPr>
            <w:r>
              <w:lastRenderedPageBreak/>
              <w:t>Attiecībā uz t</w:t>
            </w:r>
            <w:r w:rsidR="00203D5A" w:rsidRPr="008347F6">
              <w:t>urētājbank</w:t>
            </w:r>
            <w:r>
              <w:t>u Pamatnostādnes piemēro, ņemot vērā tās</w:t>
            </w:r>
            <w:r w:rsidR="00DD2757" w:rsidRPr="008347F6">
              <w:t xml:space="preserve"> pienākum</w:t>
            </w:r>
            <w:r w:rsidR="00F52863">
              <w:t>u</w:t>
            </w:r>
            <w:r w:rsidR="00DD2757" w:rsidRPr="008347F6">
              <w:t xml:space="preserve"> </w:t>
            </w:r>
            <w:r w:rsidR="00203D5A" w:rsidRPr="008347F6">
              <w:t xml:space="preserve">pārraudzīt </w:t>
            </w:r>
            <w:r w:rsidRPr="008347F6">
              <w:t>pārvaldnieka</w:t>
            </w:r>
            <w:r w:rsidR="00BD4181" w:rsidRPr="008347F6">
              <w:t xml:space="preserve"> darbību, </w:t>
            </w:r>
            <w:r w:rsidR="00AB05FC">
              <w:t>t.sk.</w:t>
            </w:r>
            <w:r w:rsidR="00DD2757" w:rsidRPr="008347F6">
              <w:t xml:space="preserve"> izveidoto</w:t>
            </w:r>
            <w:r w:rsidR="00203D5A" w:rsidRPr="008347F6">
              <w:t xml:space="preserve"> </w:t>
            </w:r>
            <w:r w:rsidR="008F35DD" w:rsidRPr="008347F6">
              <w:t>risku kontroles procesu</w:t>
            </w:r>
            <w:r w:rsidR="00BD4181" w:rsidRPr="008347F6">
              <w:t>, lai</w:t>
            </w:r>
            <w:r w:rsidR="008F35DD" w:rsidRPr="008347F6">
              <w:rPr>
                <w:lang w:eastAsia="en-US"/>
              </w:rPr>
              <w:t xml:space="preserve"> </w:t>
            </w:r>
            <w:r w:rsidR="00BD4181" w:rsidRPr="008347F6">
              <w:rPr>
                <w:lang w:eastAsia="en-US"/>
              </w:rPr>
              <w:t xml:space="preserve">pārvaldnieks </w:t>
            </w:r>
            <w:r w:rsidR="008F35DD" w:rsidRPr="008347F6">
              <w:t>spē</w:t>
            </w:r>
            <w:r w:rsidR="00BD4181" w:rsidRPr="008347F6">
              <w:t>tu</w:t>
            </w:r>
            <w:r w:rsidR="008F35DD" w:rsidRPr="008347F6">
              <w:t xml:space="preserve"> izpildīt ieguldījumu fonda prospektā vai AIF darbības noteikumos paredzētās saistības pret ieguldītājiem</w:t>
            </w:r>
            <w:r w:rsidR="00BD4181" w:rsidRPr="008347F6">
              <w:t xml:space="preserve">. Šie pienākumi </w:t>
            </w:r>
            <w:r w:rsidR="00F52863" w:rsidRPr="008347F6">
              <w:t xml:space="preserve">saistībā ar AIF </w:t>
            </w:r>
            <w:r w:rsidR="00BD4181" w:rsidRPr="008347F6">
              <w:t xml:space="preserve">noteikti </w:t>
            </w:r>
            <w:bookmarkStart w:id="0" w:name="_GoBack"/>
            <w:bookmarkEnd w:id="0"/>
            <w:r w:rsidR="00203D5A" w:rsidRPr="008347F6">
              <w:t xml:space="preserve">Regulas </w:t>
            </w:r>
            <w:r w:rsidR="008F35DD" w:rsidRPr="008347F6">
              <w:t xml:space="preserve">Nr. </w:t>
            </w:r>
            <w:r w:rsidR="00203D5A" w:rsidRPr="008347F6">
              <w:t xml:space="preserve">231/2013 </w:t>
            </w:r>
            <w:proofErr w:type="gramStart"/>
            <w:r w:rsidR="00203D5A" w:rsidRPr="008347F6">
              <w:t>92.pant</w:t>
            </w:r>
            <w:r w:rsidRPr="008347F6">
              <w:t>ā</w:t>
            </w:r>
            <w:proofErr w:type="gramEnd"/>
            <w:r w:rsidR="00F52863">
              <w:t xml:space="preserve"> un</w:t>
            </w:r>
            <w:r w:rsidR="00203D5A" w:rsidRPr="008347F6">
              <w:t xml:space="preserve"> </w:t>
            </w:r>
            <w:r w:rsidRPr="008347F6">
              <w:t>saistībā ar</w:t>
            </w:r>
            <w:r w:rsidR="00203D5A" w:rsidRPr="008347F6">
              <w:t xml:space="preserve"> ieguldījumu fondu </w:t>
            </w:r>
            <w:r w:rsidRPr="008347F6">
              <w:t>–</w:t>
            </w:r>
            <w:r w:rsidR="00203D5A" w:rsidRPr="008347F6">
              <w:t xml:space="preserve"> </w:t>
            </w:r>
            <w:r w:rsidRPr="008347F6">
              <w:t>Komisijas deleģētās r</w:t>
            </w:r>
            <w:r w:rsidR="008F35DD" w:rsidRPr="008347F6">
              <w:t>egulas 2016/438</w:t>
            </w:r>
            <w:r w:rsidRPr="008347F6">
              <w:t xml:space="preserve"> (17.12.2015.) ar ko papildina </w:t>
            </w:r>
            <w:r w:rsidR="00D361FD" w:rsidRPr="008347F6">
              <w:t>Eiropas Parlamenta un Padomes direktīvas 2009/65/E</w:t>
            </w:r>
            <w:r w:rsidR="00D05D56" w:rsidRPr="008347F6">
              <w:t>K</w:t>
            </w:r>
            <w:r w:rsidRPr="008347F6">
              <w:t xml:space="preserve"> attiecībā uz depozitāriju pienākumiem </w:t>
            </w:r>
            <w:r w:rsidR="008F35DD" w:rsidRPr="008347F6">
              <w:t>3. pant</w:t>
            </w:r>
            <w:r w:rsidR="00AB05FC">
              <w:t>ā</w:t>
            </w:r>
            <w:r w:rsidR="00203D5A" w:rsidRPr="008347F6">
              <w:t>.</w:t>
            </w:r>
          </w:p>
          <w:p w:rsidR="008A0724" w:rsidRPr="008347F6" w:rsidRDefault="008A0724" w:rsidP="008347F6">
            <w:pPr>
              <w:rPr>
                <w:sz w:val="22"/>
                <w:szCs w:val="22"/>
              </w:rPr>
            </w:pPr>
          </w:p>
        </w:tc>
      </w:tr>
      <w:tr w:rsidR="008A0724" w:rsidRPr="008347F6" w:rsidTr="006120A8">
        <w:tc>
          <w:tcPr>
            <w:tcW w:w="937" w:type="dxa"/>
          </w:tcPr>
          <w:p w:rsidR="008A0724" w:rsidRPr="008347F6" w:rsidRDefault="008A0724" w:rsidP="006120A8">
            <w:pPr>
              <w:jc w:val="center"/>
              <w:rPr>
                <w:highlight w:val="yellow"/>
              </w:rPr>
            </w:pPr>
            <w:r w:rsidRPr="008347F6">
              <w:lastRenderedPageBreak/>
              <w:t>3.</w:t>
            </w:r>
          </w:p>
        </w:tc>
        <w:tc>
          <w:tcPr>
            <w:tcW w:w="8639" w:type="dxa"/>
          </w:tcPr>
          <w:p w:rsidR="008A0724" w:rsidRPr="008347F6" w:rsidRDefault="008A0724" w:rsidP="006120A8">
            <w:pPr>
              <w:rPr>
                <w:b/>
              </w:rPr>
            </w:pPr>
            <w:r w:rsidRPr="008347F6">
              <w:rPr>
                <w:b/>
              </w:rPr>
              <w:t>Pamatnostādņu mērķis un būtība</w:t>
            </w:r>
          </w:p>
          <w:p w:rsidR="008A0724" w:rsidRPr="008347F6" w:rsidRDefault="008A0724" w:rsidP="006120A8">
            <w:pPr>
              <w:rPr>
                <w:b/>
              </w:rPr>
            </w:pPr>
          </w:p>
          <w:p w:rsidR="00AB05FC" w:rsidRDefault="00D75CD6" w:rsidP="003D1C6B">
            <w:pPr>
              <w:jc w:val="both"/>
            </w:pPr>
            <w:r>
              <w:t>Lai</w:t>
            </w:r>
            <w:r w:rsidR="00AB05FC" w:rsidRPr="00AB05FC">
              <w:t xml:space="preserve"> </w:t>
            </w:r>
            <w:r w:rsidR="00480D02">
              <w:t>panākt</w:t>
            </w:r>
            <w:r>
              <w:t>u</w:t>
            </w:r>
            <w:r w:rsidR="00AB05FC" w:rsidRPr="00AB05FC">
              <w:t xml:space="preserve"> konsekventu, efektīvu un konstruktīvu uzraudzības praksi Eiropas finanšu uzraudzības sistēmā</w:t>
            </w:r>
            <w:r w:rsidR="00AB05FC" w:rsidRPr="008347F6">
              <w:t xml:space="preserve"> un nodrošināt</w:t>
            </w:r>
            <w:r w:rsidR="00AF1841">
              <w:t>u</w:t>
            </w:r>
            <w:r w:rsidR="00AB05FC" w:rsidRPr="008347F6">
              <w:t xml:space="preserve"> kopēju, vienveidīgu un konsekventu</w:t>
            </w:r>
            <w:r w:rsidR="00AB05FC" w:rsidRPr="00AB05FC">
              <w:t xml:space="preserve"> Savienības tiesību aktu piemērošanu</w:t>
            </w:r>
            <w:r w:rsidR="00AB05FC">
              <w:t>, pilnveidojot likviditātes stresa test</w:t>
            </w:r>
            <w:r w:rsidR="00480D02">
              <w:t>ēšanas</w:t>
            </w:r>
            <w:r w:rsidR="00AB05FC">
              <w:t xml:space="preserve"> </w:t>
            </w:r>
            <w:r w:rsidR="00480D02">
              <w:t>standartus</w:t>
            </w:r>
            <w:r w:rsidR="00AB05FC" w:rsidRPr="00AB05FC">
              <w:t>, kā arī veicināt</w:t>
            </w:r>
            <w:r w:rsidR="00AF1841">
              <w:t>u</w:t>
            </w:r>
            <w:r w:rsidR="00AB05FC" w:rsidRPr="00AB05FC">
              <w:t xml:space="preserve"> </w:t>
            </w:r>
            <w:r>
              <w:t>vienotu uzraudzības praksi kompetentajām iestādēm</w:t>
            </w:r>
            <w:r w:rsidR="00AF1841">
              <w:t>,</w:t>
            </w:r>
            <w:r w:rsidR="00AB05FC" w:rsidRPr="00AB05FC">
              <w:t xml:space="preserve"> </w:t>
            </w:r>
          </w:p>
          <w:p w:rsidR="003D1C6B" w:rsidRPr="008347F6" w:rsidRDefault="00260061" w:rsidP="003D1C6B">
            <w:pPr>
              <w:jc w:val="both"/>
            </w:pPr>
            <w:r w:rsidRPr="008347F6">
              <w:t xml:space="preserve">Eiropas Vērtspapīru un tirgu iestāde izstrādājusi </w:t>
            </w:r>
            <w:r w:rsidR="00AF1841">
              <w:t xml:space="preserve">šīs </w:t>
            </w:r>
            <w:r w:rsidR="00204770" w:rsidRPr="008347F6">
              <w:t>Pamatnostādnes.</w:t>
            </w:r>
          </w:p>
          <w:p w:rsidR="008A0724" w:rsidRPr="008347F6" w:rsidRDefault="008A0724" w:rsidP="006E36AB">
            <w:pPr>
              <w:jc w:val="both"/>
              <w:rPr>
                <w:highlight w:val="yellow"/>
              </w:rPr>
            </w:pPr>
          </w:p>
        </w:tc>
      </w:tr>
      <w:tr w:rsidR="008A0724" w:rsidRPr="008347F6" w:rsidTr="006120A8">
        <w:tc>
          <w:tcPr>
            <w:tcW w:w="937" w:type="dxa"/>
          </w:tcPr>
          <w:p w:rsidR="008A0724" w:rsidRPr="008347F6" w:rsidRDefault="008A0724" w:rsidP="006120A8">
            <w:pPr>
              <w:jc w:val="center"/>
            </w:pPr>
            <w:r w:rsidRPr="008347F6">
              <w:t>4.</w:t>
            </w:r>
          </w:p>
        </w:tc>
        <w:tc>
          <w:tcPr>
            <w:tcW w:w="8639" w:type="dxa"/>
          </w:tcPr>
          <w:p w:rsidR="008A0724" w:rsidRPr="008347F6" w:rsidRDefault="008A0724" w:rsidP="006120A8">
            <w:pPr>
              <w:rPr>
                <w:b/>
              </w:rPr>
            </w:pPr>
            <w:r w:rsidRPr="008347F6">
              <w:rPr>
                <w:b/>
              </w:rPr>
              <w:t xml:space="preserve">Atsauce uz Pamatnostādņu tekstu </w:t>
            </w:r>
          </w:p>
          <w:p w:rsidR="008A0724" w:rsidRPr="008347F6" w:rsidRDefault="008A0724" w:rsidP="006120A8">
            <w:pPr>
              <w:rPr>
                <w:sz w:val="22"/>
                <w:szCs w:val="22"/>
              </w:rPr>
            </w:pPr>
          </w:p>
          <w:p w:rsidR="008A0724" w:rsidRDefault="008A0724" w:rsidP="00AF1841">
            <w:pPr>
              <w:pStyle w:val="Default"/>
              <w:jc w:val="both"/>
              <w:rPr>
                <w:rFonts w:eastAsia="Times New Roman"/>
              </w:rPr>
            </w:pPr>
            <w:r w:rsidRPr="008347F6">
              <w:rPr>
                <w:rFonts w:eastAsia="Times New Roman"/>
                <w:color w:val="auto"/>
                <w:lang w:eastAsia="en-US"/>
              </w:rPr>
              <w:t xml:space="preserve">Pamatnostādņu teksts ir pieejams </w:t>
            </w:r>
            <w:r w:rsidR="00D75CD6" w:rsidRPr="00D75CD6">
              <w:rPr>
                <w:rFonts w:eastAsia="Times New Roman"/>
                <w:color w:val="auto"/>
                <w:lang w:eastAsia="en-US"/>
              </w:rPr>
              <w:t>Eiropas Vērtspapīru un tirgu iestāde</w:t>
            </w:r>
            <w:r w:rsidR="00D75CD6">
              <w:rPr>
                <w:rFonts w:eastAsia="Times New Roman"/>
                <w:color w:val="auto"/>
                <w:lang w:eastAsia="en-US"/>
              </w:rPr>
              <w:t>s</w:t>
            </w:r>
            <w:r w:rsidR="00D75CD6" w:rsidRPr="00D75CD6">
              <w:rPr>
                <w:rFonts w:eastAsia="Times New Roman"/>
                <w:color w:val="auto"/>
                <w:lang w:eastAsia="en-US"/>
              </w:rPr>
              <w:t xml:space="preserve"> </w:t>
            </w:r>
            <w:r w:rsidRPr="008347F6">
              <w:rPr>
                <w:rFonts w:eastAsia="Times New Roman"/>
                <w:color w:val="auto"/>
                <w:lang w:eastAsia="en-US"/>
              </w:rPr>
              <w:t>tīmekļa vietnē:</w:t>
            </w:r>
            <w:r w:rsidR="00204770" w:rsidRPr="008347F6">
              <w:rPr>
                <w:rFonts w:eastAsia="Times New Roman"/>
              </w:rPr>
              <w:t xml:space="preserve"> </w:t>
            </w:r>
          </w:p>
          <w:p w:rsidR="00AF1841" w:rsidRDefault="00F52863" w:rsidP="00AF1841">
            <w:pPr>
              <w:pStyle w:val="Default"/>
              <w:jc w:val="both"/>
            </w:pPr>
            <w:hyperlink r:id="rId6" w:history="1">
              <w:r w:rsidR="00AF1841" w:rsidRPr="00D75AF1">
                <w:rPr>
                  <w:rStyle w:val="Hyperlink"/>
                </w:rPr>
                <w:t>https://www.esma.europa.eu/document/guidelines-liquidity-stress-testing-in-ucits-and-aifs</w:t>
              </w:r>
            </w:hyperlink>
          </w:p>
          <w:p w:rsidR="00AF1841" w:rsidRPr="008347F6" w:rsidRDefault="00AF1841" w:rsidP="00AF1841">
            <w:pPr>
              <w:pStyle w:val="Default"/>
              <w:jc w:val="both"/>
            </w:pPr>
          </w:p>
        </w:tc>
      </w:tr>
      <w:tr w:rsidR="008A0724" w:rsidRPr="008347F6" w:rsidTr="006120A8">
        <w:tc>
          <w:tcPr>
            <w:tcW w:w="937" w:type="dxa"/>
          </w:tcPr>
          <w:p w:rsidR="008A0724" w:rsidRPr="008347F6" w:rsidRDefault="008A0724" w:rsidP="006120A8">
            <w:pPr>
              <w:jc w:val="center"/>
            </w:pPr>
            <w:r w:rsidRPr="008347F6">
              <w:t>5.</w:t>
            </w:r>
          </w:p>
        </w:tc>
        <w:tc>
          <w:tcPr>
            <w:tcW w:w="8639" w:type="dxa"/>
          </w:tcPr>
          <w:p w:rsidR="008A0724" w:rsidRPr="008347F6" w:rsidRDefault="008A0724" w:rsidP="006120A8">
            <w:pPr>
              <w:rPr>
                <w:b/>
              </w:rPr>
            </w:pPr>
            <w:r w:rsidRPr="008347F6">
              <w:rPr>
                <w:b/>
              </w:rPr>
              <w:t xml:space="preserve">Pamatnostādņu piemērošana </w:t>
            </w:r>
          </w:p>
          <w:p w:rsidR="008A0724" w:rsidRPr="008347F6" w:rsidRDefault="008A0724" w:rsidP="006120A8">
            <w:pPr>
              <w:rPr>
                <w:sz w:val="22"/>
                <w:szCs w:val="22"/>
              </w:rPr>
            </w:pPr>
          </w:p>
          <w:p w:rsidR="00684ED3" w:rsidRPr="008347F6" w:rsidRDefault="00684ED3" w:rsidP="00AF1841">
            <w:pPr>
              <w:pStyle w:val="Default"/>
              <w:jc w:val="both"/>
            </w:pPr>
            <w:r w:rsidRPr="008347F6">
              <w:rPr>
                <w:rFonts w:eastAsia="Times New Roman"/>
                <w:color w:val="auto"/>
                <w:lang w:eastAsia="en-US"/>
              </w:rPr>
              <w:t xml:space="preserve">Finanšu un kapitāla tirgus komisija paziņo, ka izmantos Pamatnostādnes savā darbībā un uzraudzības praksē, piemērojot </w:t>
            </w:r>
            <w:r w:rsidR="00AF1841">
              <w:t>šajā paziņojumā minētos tiesību aktus</w:t>
            </w:r>
            <w:r w:rsidRPr="008347F6">
              <w:rPr>
                <w:rFonts w:eastAsia="Times New Roman"/>
                <w:color w:val="auto"/>
                <w:lang w:eastAsia="en-US"/>
              </w:rPr>
              <w:t>, un sagaida, ka ieguldījumu pārvaldes sabiedrības un alternatīvo ieguldījumu fondu pārvaldnieki</w:t>
            </w:r>
            <w:r w:rsidR="00AF1841">
              <w:rPr>
                <w:rFonts w:eastAsia="Times New Roman"/>
                <w:color w:val="auto"/>
                <w:lang w:eastAsia="en-US"/>
              </w:rPr>
              <w:t xml:space="preserve"> </w:t>
            </w:r>
            <w:r w:rsidR="00AF1841" w:rsidRPr="00AF1841">
              <w:rPr>
                <w:rFonts w:eastAsia="Times New Roman"/>
                <w:color w:val="auto"/>
                <w:lang w:eastAsia="en-US"/>
              </w:rPr>
              <w:t>stresa testēšan</w:t>
            </w:r>
            <w:r w:rsidR="00AF1841">
              <w:rPr>
                <w:rFonts w:eastAsia="Times New Roman"/>
                <w:color w:val="auto"/>
                <w:lang w:eastAsia="en-US"/>
              </w:rPr>
              <w:t>as procesā</w:t>
            </w:r>
            <w:r w:rsidR="00AF1841" w:rsidRPr="00AF1841">
              <w:rPr>
                <w:rFonts w:eastAsia="Times New Roman"/>
                <w:color w:val="auto"/>
                <w:lang w:eastAsia="en-US"/>
              </w:rPr>
              <w:t xml:space="preserve"> </w:t>
            </w:r>
            <w:r w:rsidRPr="008347F6">
              <w:rPr>
                <w:rFonts w:eastAsia="Times New Roman"/>
                <w:color w:val="auto"/>
                <w:lang w:eastAsia="en-US"/>
              </w:rPr>
              <w:t>ievēros Pamatnostādnēs noteikto.</w:t>
            </w:r>
          </w:p>
        </w:tc>
      </w:tr>
    </w:tbl>
    <w:p w:rsidR="00EC60AD" w:rsidRPr="008347F6" w:rsidRDefault="00EC60AD" w:rsidP="000F00B5"/>
    <w:sectPr w:rsidR="00EC60AD" w:rsidRPr="008347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5C2"/>
    <w:multiLevelType w:val="hybridMultilevel"/>
    <w:tmpl w:val="1504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C2A"/>
    <w:multiLevelType w:val="hybridMultilevel"/>
    <w:tmpl w:val="AD808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956"/>
    <w:multiLevelType w:val="hybridMultilevel"/>
    <w:tmpl w:val="EAFC8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50E27"/>
    <w:multiLevelType w:val="hybridMultilevel"/>
    <w:tmpl w:val="3DF67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86A"/>
    <w:multiLevelType w:val="hybridMultilevel"/>
    <w:tmpl w:val="8CF2B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2B67"/>
    <w:multiLevelType w:val="hybridMultilevel"/>
    <w:tmpl w:val="15FE2780"/>
    <w:lvl w:ilvl="0" w:tplc="2B6429F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4"/>
    <w:rsid w:val="000F00B5"/>
    <w:rsid w:val="000F724A"/>
    <w:rsid w:val="0010699F"/>
    <w:rsid w:val="001424B9"/>
    <w:rsid w:val="00194084"/>
    <w:rsid w:val="001F0A1D"/>
    <w:rsid w:val="00203D5A"/>
    <w:rsid w:val="00204770"/>
    <w:rsid w:val="00260061"/>
    <w:rsid w:val="00277FEA"/>
    <w:rsid w:val="0028440F"/>
    <w:rsid w:val="00285F09"/>
    <w:rsid w:val="002C01B4"/>
    <w:rsid w:val="002D7F1E"/>
    <w:rsid w:val="00356395"/>
    <w:rsid w:val="003A07C5"/>
    <w:rsid w:val="003D1C6B"/>
    <w:rsid w:val="003D7ADF"/>
    <w:rsid w:val="003F55F2"/>
    <w:rsid w:val="0040688E"/>
    <w:rsid w:val="00415DC7"/>
    <w:rsid w:val="004342B3"/>
    <w:rsid w:val="0043651E"/>
    <w:rsid w:val="00462538"/>
    <w:rsid w:val="00480D02"/>
    <w:rsid w:val="00524486"/>
    <w:rsid w:val="00561C31"/>
    <w:rsid w:val="005F35F6"/>
    <w:rsid w:val="006168A2"/>
    <w:rsid w:val="00672DFB"/>
    <w:rsid w:val="00673CF8"/>
    <w:rsid w:val="00684ED3"/>
    <w:rsid w:val="006E36AB"/>
    <w:rsid w:val="007527A7"/>
    <w:rsid w:val="00790A23"/>
    <w:rsid w:val="007C2340"/>
    <w:rsid w:val="007D0504"/>
    <w:rsid w:val="00813A8B"/>
    <w:rsid w:val="008347F6"/>
    <w:rsid w:val="00837FF5"/>
    <w:rsid w:val="008A0724"/>
    <w:rsid w:val="008F35DD"/>
    <w:rsid w:val="0096480B"/>
    <w:rsid w:val="009674A3"/>
    <w:rsid w:val="00991ADF"/>
    <w:rsid w:val="009E5A85"/>
    <w:rsid w:val="009F63D2"/>
    <w:rsid w:val="00A437CD"/>
    <w:rsid w:val="00A96AB1"/>
    <w:rsid w:val="00AB05FC"/>
    <w:rsid w:val="00AF1841"/>
    <w:rsid w:val="00B01CCB"/>
    <w:rsid w:val="00B15597"/>
    <w:rsid w:val="00B66A57"/>
    <w:rsid w:val="00B9282E"/>
    <w:rsid w:val="00BD4181"/>
    <w:rsid w:val="00C022AC"/>
    <w:rsid w:val="00C778EA"/>
    <w:rsid w:val="00CD0E70"/>
    <w:rsid w:val="00D05D56"/>
    <w:rsid w:val="00D361FD"/>
    <w:rsid w:val="00D75CD6"/>
    <w:rsid w:val="00D917CA"/>
    <w:rsid w:val="00DC0115"/>
    <w:rsid w:val="00DD2757"/>
    <w:rsid w:val="00DE7171"/>
    <w:rsid w:val="00E12F28"/>
    <w:rsid w:val="00E97F4E"/>
    <w:rsid w:val="00EC60AD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2C4586-05A1-4F03-915A-A06E51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ums">
    <w:name w:val="Datums"/>
    <w:basedOn w:val="Normal"/>
    <w:next w:val="Normal"/>
    <w:rsid w:val="008A0724"/>
    <w:pPr>
      <w:spacing w:before="1700"/>
    </w:pPr>
    <w:rPr>
      <w:szCs w:val="20"/>
      <w:lang w:val="en-US"/>
    </w:rPr>
  </w:style>
  <w:style w:type="paragraph" w:customStyle="1" w:styleId="Default">
    <w:name w:val="Default"/>
    <w:rsid w:val="008A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8A07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A0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0724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8A07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CA"/>
    <w:rPr>
      <w:rFonts w:ascii="Tahoma" w:eastAsia="Times New Roman" w:hAnsi="Tahoma" w:cs="Tahoma"/>
      <w:sz w:val="16"/>
      <w:szCs w:val="16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67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ma.europa.eu/document/guidelines-liquidity-stress-testing-in-ucits-and-aifs" TargetMode="External"/><Relationship Id="rId5" Type="http://schemas.openxmlformats.org/officeDocument/2006/relationships/hyperlink" Target="https://www.esma.europa.eu/sites/default/files/library/esma34-39-897_guidelines_on_liquidity_stress_testing_in_ucits_and_aifs_l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Goldberga</dc:creator>
  <cp:lastModifiedBy>Sandra Sedleniece</cp:lastModifiedBy>
  <cp:revision>9</cp:revision>
  <cp:lastPrinted>2020-03-06T07:47:00Z</cp:lastPrinted>
  <dcterms:created xsi:type="dcterms:W3CDTF">2020-09-10T05:50:00Z</dcterms:created>
  <dcterms:modified xsi:type="dcterms:W3CDTF">2020-09-11T11:03:00Z</dcterms:modified>
</cp:coreProperties>
</file>