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C67D" w14:textId="1CCC3A36" w:rsidR="00027CF8" w:rsidRPr="00AF33EC" w:rsidRDefault="005A41DA" w:rsidP="00ED4719">
      <w:pPr>
        <w:tabs>
          <w:tab w:val="left" w:pos="6237"/>
        </w:tabs>
        <w:spacing w:after="0" w:line="240" w:lineRule="auto"/>
        <w:jc w:val="both"/>
        <w:rPr>
          <w:rFonts w:ascii="Times New Roman" w:hAnsi="Times New Roman" w:cs="Times New Roman"/>
          <w:noProof/>
          <w:sz w:val="24"/>
          <w:szCs w:val="24"/>
          <w:lang w:val="lv-LV"/>
        </w:rPr>
      </w:pPr>
      <w:r w:rsidRPr="00AF33EC">
        <w:rPr>
          <w:rFonts w:ascii="Times New Roman" w:eastAsia="Times New Roman" w:hAnsi="Times New Roman" w:cs="Times New Roman"/>
          <w:sz w:val="24"/>
          <w:szCs w:val="24"/>
          <w:lang w:val="en-GB" w:bidi="en-GB"/>
        </w:rPr>
        <w:t>8 August 2019</w:t>
      </w:r>
      <w:r w:rsidRPr="00AF33EC">
        <w:rPr>
          <w:rFonts w:ascii="Times New Roman" w:eastAsia="Times New Roman" w:hAnsi="Times New Roman" w:cs="Times New Roman"/>
          <w:sz w:val="24"/>
          <w:szCs w:val="24"/>
          <w:lang w:val="en-GB" w:bidi="en-GB"/>
        </w:rPr>
        <w:tab/>
        <w:t>Regulation No. 125</w:t>
      </w:r>
    </w:p>
    <w:p w14:paraId="263658EB" w14:textId="4496D9F8" w:rsidR="00027CF8" w:rsidRPr="00FF4762" w:rsidRDefault="00027CF8" w:rsidP="00ED4719">
      <w:pPr>
        <w:tabs>
          <w:tab w:val="left" w:pos="3119"/>
        </w:tabs>
        <w:spacing w:after="0" w:line="240" w:lineRule="auto"/>
        <w:rPr>
          <w:rFonts w:ascii="Times New Roman" w:hAnsi="Times New Roman" w:cs="Times New Roman"/>
          <w:sz w:val="24"/>
          <w:szCs w:val="24"/>
          <w:lang w:val="lv-LV"/>
        </w:rPr>
      </w:pPr>
      <w:r w:rsidRPr="00FF4762">
        <w:rPr>
          <w:rFonts w:ascii="Times New Roman" w:eastAsia="Times New Roman" w:hAnsi="Times New Roman" w:cs="Times New Roman"/>
          <w:noProof/>
          <w:sz w:val="24"/>
          <w:szCs w:val="24"/>
          <w:lang w:val="en-GB" w:bidi="en-GB"/>
        </w:rPr>
        <w:t>Rig</w:t>
      </w:r>
      <w:r w:rsidR="00ED4719">
        <w:rPr>
          <w:rFonts w:ascii="Times New Roman" w:eastAsia="Times New Roman" w:hAnsi="Times New Roman" w:cs="Times New Roman"/>
          <w:noProof/>
          <w:sz w:val="24"/>
          <w:szCs w:val="24"/>
          <w:lang w:val="en-GB" w:bidi="en-GB"/>
        </w:rPr>
        <w:t>a</w:t>
      </w:r>
      <w:r w:rsidR="00ED4719">
        <w:rPr>
          <w:rFonts w:ascii="Times New Roman" w:eastAsia="Times New Roman" w:hAnsi="Times New Roman" w:cs="Times New Roman"/>
          <w:noProof/>
          <w:sz w:val="24"/>
          <w:szCs w:val="24"/>
          <w:lang w:val="en-GB" w:bidi="en-GB"/>
        </w:rPr>
        <w:tab/>
      </w:r>
      <w:r w:rsidRPr="00FF4762">
        <w:rPr>
          <w:rFonts w:ascii="Times New Roman" w:eastAsia="Times New Roman" w:hAnsi="Times New Roman" w:cs="Times New Roman"/>
          <w:noProof/>
          <w:sz w:val="24"/>
          <w:szCs w:val="24"/>
          <w:lang w:val="en-GB" w:bidi="en-GB"/>
        </w:rPr>
        <w:t>(Minutes No. 38, para. 3 of the meeting of the Council of the</w:t>
      </w:r>
    </w:p>
    <w:p w14:paraId="0DFDE8FF" w14:textId="06E65CAA" w:rsidR="00027CF8" w:rsidRPr="00AF33EC" w:rsidRDefault="00027CF8">
      <w:pPr>
        <w:pStyle w:val="naisf"/>
        <w:spacing w:before="0" w:beforeAutospacing="0" w:after="0" w:afterAutospacing="0"/>
        <w:jc w:val="right"/>
        <w:rPr>
          <w:noProof/>
          <w:lang w:val="lv-LV"/>
        </w:rPr>
      </w:pPr>
      <w:r w:rsidRPr="00FF4762">
        <w:rPr>
          <w:lang w:bidi="en-GB"/>
        </w:rPr>
        <w:t>Financial and Capital Market Commission)</w:t>
      </w:r>
    </w:p>
    <w:p w14:paraId="60E025E6" w14:textId="77777777" w:rsidR="00027CF8" w:rsidRPr="008A563C" w:rsidRDefault="00027CF8" w:rsidP="008A563C">
      <w:pPr>
        <w:spacing w:after="0" w:line="240" w:lineRule="auto"/>
        <w:jc w:val="both"/>
        <w:rPr>
          <w:rFonts w:ascii="Times New Roman" w:hAnsi="Times New Roman" w:cs="Times New Roman"/>
          <w:noProof/>
          <w:lang w:val="lv-LV"/>
        </w:rPr>
      </w:pPr>
    </w:p>
    <w:p w14:paraId="121AC94A" w14:textId="2934D06E" w:rsidR="00027CF8" w:rsidRPr="008A563C" w:rsidRDefault="00FF4762" w:rsidP="008A563C">
      <w:pPr>
        <w:pStyle w:val="NormalWeb"/>
        <w:spacing w:before="0" w:beforeAutospacing="0" w:after="0" w:afterAutospacing="0"/>
        <w:jc w:val="center"/>
        <w:rPr>
          <w:rFonts w:ascii="Times New Roman" w:hAnsi="Times New Roman"/>
          <w:bCs/>
          <w:caps/>
          <w:sz w:val="28"/>
          <w:szCs w:val="28"/>
        </w:rPr>
      </w:pPr>
      <w:bookmarkStart w:id="0" w:name="_GoBack"/>
      <w:r w:rsidRPr="008A563C">
        <w:rPr>
          <w:rFonts w:ascii="Times New Roman" w:eastAsia="Times New Roman" w:hAnsi="Times New Roman"/>
          <w:sz w:val="28"/>
          <w:szCs w:val="28"/>
          <w:lang w:val="en-GB" w:bidi="en-GB"/>
        </w:rPr>
        <w:t>Regulations on Conducting an Independent Assessment of an Internal Control System for the Prevention of Money Laundering and Terrorism and Proliferation Financing</w:t>
      </w:r>
    </w:p>
    <w:bookmarkEnd w:id="0"/>
    <w:p w14:paraId="7844B8A7" w14:textId="77777777" w:rsidR="000A4B36" w:rsidRDefault="000A4B36" w:rsidP="008A563C">
      <w:pPr>
        <w:spacing w:after="0" w:line="240" w:lineRule="auto"/>
        <w:jc w:val="right"/>
        <w:rPr>
          <w:rFonts w:ascii="Times New Roman" w:hAnsi="Times New Roman" w:cs="Times New Roman"/>
          <w:noProof/>
          <w:sz w:val="20"/>
          <w:szCs w:val="20"/>
          <w:lang w:val="lv-LV"/>
        </w:rPr>
      </w:pPr>
    </w:p>
    <w:p w14:paraId="28A8E278" w14:textId="55E7BD2F" w:rsidR="00027CF8" w:rsidRPr="00C73A53" w:rsidRDefault="00027CF8" w:rsidP="008A563C">
      <w:pPr>
        <w:spacing w:after="0" w:line="240" w:lineRule="auto"/>
        <w:jc w:val="right"/>
        <w:rPr>
          <w:rFonts w:ascii="Times New Roman" w:hAnsi="Times New Roman" w:cs="Times New Roman"/>
          <w:noProof/>
          <w:sz w:val="20"/>
          <w:szCs w:val="20"/>
          <w:lang w:val="lv-LV"/>
        </w:rPr>
      </w:pPr>
      <w:r w:rsidRPr="00467C1E">
        <w:rPr>
          <w:rFonts w:ascii="Times New Roman" w:eastAsia="Times New Roman" w:hAnsi="Times New Roman" w:cs="Times New Roman"/>
          <w:noProof/>
          <w:sz w:val="20"/>
          <w:szCs w:val="20"/>
          <w:lang w:val="en-GB" w:bidi="en-GB"/>
        </w:rPr>
        <w:t xml:space="preserve">Issued pursuant to Section 47, Paragraph two, Clause 2 of the </w:t>
      </w:r>
      <w:r w:rsidRPr="00467C1E">
        <w:rPr>
          <w:rFonts w:ascii="Times New Roman" w:eastAsia="Times New Roman" w:hAnsi="Times New Roman" w:cs="Times New Roman"/>
          <w:noProof/>
          <w:sz w:val="20"/>
          <w:szCs w:val="20"/>
          <w:lang w:val="en-GB" w:bidi="en-GB"/>
        </w:rPr>
        <w:br/>
        <w:t>Law on the Prevention of Money Laundering and</w:t>
      </w:r>
      <w:r w:rsidRPr="00467C1E">
        <w:rPr>
          <w:rFonts w:ascii="Times New Roman" w:eastAsia="Times New Roman" w:hAnsi="Times New Roman" w:cs="Times New Roman"/>
          <w:noProof/>
          <w:sz w:val="20"/>
          <w:szCs w:val="20"/>
          <w:lang w:val="en-GB" w:bidi="en-GB"/>
        </w:rPr>
        <w:br/>
        <w:t>Terrorism and Proliferation Financing</w:t>
      </w:r>
    </w:p>
    <w:p w14:paraId="7204CD1D" w14:textId="77777777" w:rsidR="008B20B1" w:rsidRPr="008A563C" w:rsidRDefault="008B20B1" w:rsidP="00AF33EC">
      <w:pPr>
        <w:pStyle w:val="NormalWeb"/>
        <w:spacing w:before="0" w:beforeAutospacing="0" w:after="0" w:afterAutospacing="0"/>
        <w:jc w:val="center"/>
        <w:rPr>
          <w:rFonts w:ascii="Times New Roman" w:hAnsi="Times New Roman"/>
          <w:b/>
          <w:bCs/>
          <w:noProof/>
          <w:sz w:val="20"/>
          <w:szCs w:val="20"/>
        </w:rPr>
      </w:pPr>
    </w:p>
    <w:p w14:paraId="3D3DC23A" w14:textId="77777777" w:rsidR="00027CF8" w:rsidRPr="00AF33EC" w:rsidRDefault="00027CF8" w:rsidP="00AF33EC">
      <w:pPr>
        <w:pStyle w:val="NormalWeb"/>
        <w:spacing w:before="0" w:beforeAutospacing="0" w:after="0" w:afterAutospacing="0"/>
        <w:jc w:val="center"/>
        <w:rPr>
          <w:rFonts w:ascii="Times New Roman" w:hAnsi="Times New Roman"/>
          <w:b/>
          <w:bCs/>
          <w:sz w:val="26"/>
        </w:rPr>
      </w:pPr>
      <w:r w:rsidRPr="008A563C">
        <w:rPr>
          <w:rFonts w:ascii="Times New Roman" w:eastAsia="Times New Roman" w:hAnsi="Times New Roman"/>
          <w:b/>
          <w:noProof/>
          <w:sz w:val="26"/>
          <w:szCs w:val="26"/>
          <w:lang w:val="en-GB" w:bidi="en-GB"/>
        </w:rPr>
        <w:t>I. General provisions</w:t>
      </w:r>
    </w:p>
    <w:p w14:paraId="28DD70F6" w14:textId="77777777" w:rsidR="001772B7" w:rsidRPr="00AF33EC" w:rsidRDefault="001772B7" w:rsidP="008A563C">
      <w:pPr>
        <w:pStyle w:val="tv213"/>
        <w:shd w:val="clear" w:color="auto" w:fill="FFFFFF"/>
        <w:spacing w:before="0" w:beforeAutospacing="0" w:after="0" w:afterAutospacing="0"/>
        <w:ind w:left="357"/>
        <w:jc w:val="both"/>
        <w:rPr>
          <w:rFonts w:eastAsia="Arial Unicode MS"/>
          <w:b/>
          <w:bCs/>
          <w:noProof/>
          <w:sz w:val="26"/>
          <w:lang w:eastAsia="en-US"/>
        </w:rPr>
      </w:pPr>
    </w:p>
    <w:p w14:paraId="114A23E7" w14:textId="74789C40" w:rsidR="00F95832" w:rsidRPr="00AF33EC" w:rsidRDefault="00F95832" w:rsidP="008A563C">
      <w:pPr>
        <w:pStyle w:val="tv213"/>
        <w:numPr>
          <w:ilvl w:val="0"/>
          <w:numId w:val="17"/>
        </w:numPr>
        <w:shd w:val="clear" w:color="auto" w:fill="FFFFFF"/>
        <w:spacing w:before="0" w:beforeAutospacing="0" w:after="0" w:afterAutospacing="0"/>
        <w:ind w:left="0" w:firstLine="426"/>
        <w:jc w:val="both"/>
        <w:rPr>
          <w:rFonts w:eastAsia="Calibri"/>
          <w:color w:val="000000"/>
          <w:lang w:eastAsia="en-US"/>
        </w:rPr>
      </w:pPr>
      <w:r w:rsidRPr="00FF4762">
        <w:rPr>
          <w:lang w:val="en-GB" w:bidi="en-GB"/>
        </w:rPr>
        <w:t xml:space="preserve">“The regulations on Conducting an Independent Assessment of the Internal Control System for the Prevention of Money Laundering and Terrorism and Proliferation Financing” (hereinafter – the Regulations) is binding to </w:t>
      </w:r>
      <w:r w:rsidR="00602AAE" w:rsidRPr="00FF4762">
        <w:rPr>
          <w:rFonts w:eastAsia="Calibri"/>
          <w:color w:val="000000"/>
          <w:lang w:val="en-GB" w:bidi="en-GB"/>
        </w:rPr>
        <w:t>credit institutions, licensed payment and electronic money institutions and credit institutions, licensed payment and electronic money institutions of branches of Member States and third countries in the Republic of Latvia (</w:t>
      </w:r>
      <w:r w:rsidRPr="00FF4762">
        <w:rPr>
          <w:lang w:val="en-GB" w:bidi="en-GB"/>
        </w:rPr>
        <w:t>hereinafter all together – the institution).</w:t>
      </w:r>
    </w:p>
    <w:p w14:paraId="64502251" w14:textId="77777777" w:rsidR="00027CF8" w:rsidRPr="00FF4762" w:rsidRDefault="00027CF8" w:rsidP="00AF33EC">
      <w:pPr>
        <w:spacing w:after="0" w:line="240" w:lineRule="auto"/>
        <w:ind w:firstLine="426"/>
        <w:rPr>
          <w:rFonts w:ascii="Times New Roman" w:eastAsia="Calibri" w:hAnsi="Times New Roman" w:cs="Times New Roman"/>
          <w:color w:val="000000"/>
          <w:sz w:val="24"/>
          <w:szCs w:val="24"/>
          <w:lang w:val="lv-LV"/>
        </w:rPr>
      </w:pPr>
    </w:p>
    <w:p w14:paraId="71416F9D" w14:textId="35EEBF67" w:rsidR="0022112F" w:rsidRPr="00FF4762" w:rsidRDefault="0022112F" w:rsidP="008A563C">
      <w:pPr>
        <w:pStyle w:val="Default"/>
        <w:numPr>
          <w:ilvl w:val="0"/>
          <w:numId w:val="17"/>
        </w:numPr>
        <w:tabs>
          <w:tab w:val="left" w:pos="0"/>
        </w:tabs>
        <w:ind w:left="0" w:firstLine="426"/>
        <w:jc w:val="both"/>
      </w:pPr>
      <w:r w:rsidRPr="00FF4762">
        <w:rPr>
          <w:lang w:val="en-GB" w:bidi="en-GB"/>
        </w:rPr>
        <w:t>The Regulations prescribe the minimum requirements for conducting the institution’s independent evaluation (hereinafter – the audit) of the internal control system for the prevention of money laundering and terrorism and proliferation financing (hereinafter – the ICS PMLTPF).</w:t>
      </w:r>
    </w:p>
    <w:p w14:paraId="7663D357" w14:textId="77777777" w:rsidR="0022112F" w:rsidRPr="00FF4762" w:rsidRDefault="0022112F">
      <w:pPr>
        <w:pStyle w:val="Default"/>
        <w:tabs>
          <w:tab w:val="left" w:pos="0"/>
        </w:tabs>
        <w:ind w:firstLine="426"/>
        <w:jc w:val="both"/>
      </w:pPr>
    </w:p>
    <w:p w14:paraId="683083BC" w14:textId="707255AA" w:rsidR="00D517A2" w:rsidRPr="00FF4762" w:rsidRDefault="00C307C9" w:rsidP="008A563C">
      <w:pPr>
        <w:pStyle w:val="tv213"/>
        <w:numPr>
          <w:ilvl w:val="0"/>
          <w:numId w:val="17"/>
        </w:numPr>
        <w:spacing w:before="0" w:beforeAutospacing="0" w:after="0" w:afterAutospacing="0"/>
        <w:ind w:left="0" w:firstLine="426"/>
        <w:jc w:val="both"/>
        <w:rPr>
          <w:rFonts w:eastAsia="Calibri"/>
          <w:color w:val="000000"/>
          <w:lang w:eastAsia="en-US"/>
        </w:rPr>
      </w:pPr>
      <w:r w:rsidRPr="00FF4762">
        <w:rPr>
          <w:rFonts w:eastAsia="Calibri"/>
          <w:color w:val="000000"/>
          <w:lang w:val="en-GB" w:bidi="en-GB"/>
        </w:rPr>
        <w:t>The Regulation prescribes the following requirements:</w:t>
      </w:r>
    </w:p>
    <w:p w14:paraId="13402CF8" w14:textId="2331B0E8" w:rsidR="00D517A2" w:rsidRPr="00FF4762" w:rsidRDefault="0010350B" w:rsidP="008A563C">
      <w:pPr>
        <w:pStyle w:val="tv213"/>
        <w:spacing w:before="0" w:beforeAutospacing="0" w:after="0" w:afterAutospacing="0"/>
        <w:ind w:firstLine="426"/>
        <w:jc w:val="both"/>
        <w:rPr>
          <w:rFonts w:eastAsia="Calibri"/>
          <w:color w:val="000000"/>
          <w:lang w:eastAsia="en-US"/>
        </w:rPr>
      </w:pPr>
      <w:r w:rsidRPr="00FF4762">
        <w:rPr>
          <w:rFonts w:eastAsia="Calibri"/>
          <w:color w:val="000000"/>
          <w:lang w:val="en-GB" w:bidi="en-GB"/>
        </w:rPr>
        <w:t xml:space="preserve">3.1. for the regularity of conducting the audit of the ICS PMLTPF; </w:t>
      </w:r>
    </w:p>
    <w:p w14:paraId="31D46253" w14:textId="445C69A1" w:rsidR="00D517A2" w:rsidRPr="00FF4762" w:rsidRDefault="00F3706E" w:rsidP="008A563C">
      <w:pPr>
        <w:pStyle w:val="tv213"/>
        <w:spacing w:before="0" w:beforeAutospacing="0" w:after="0" w:afterAutospacing="0"/>
        <w:ind w:firstLine="426"/>
        <w:jc w:val="both"/>
        <w:rPr>
          <w:rFonts w:eastAsia="Calibri"/>
          <w:color w:val="000000"/>
          <w:lang w:eastAsia="en-US"/>
        </w:rPr>
      </w:pPr>
      <w:r w:rsidRPr="00FF4762">
        <w:rPr>
          <w:rFonts w:eastAsia="Calibri"/>
          <w:color w:val="000000"/>
          <w:lang w:val="en-GB" w:bidi="en-GB"/>
        </w:rPr>
        <w:t>3.2. for the scope of conducting the audit of the ICS PMLTPF;</w:t>
      </w:r>
    </w:p>
    <w:p w14:paraId="22903984" w14:textId="284D2BEB" w:rsidR="00C307C9" w:rsidRPr="00FF4762" w:rsidRDefault="00C307C9" w:rsidP="008A563C">
      <w:pPr>
        <w:pStyle w:val="tv213"/>
        <w:spacing w:before="0" w:beforeAutospacing="0" w:after="0" w:afterAutospacing="0"/>
        <w:ind w:firstLine="426"/>
        <w:jc w:val="both"/>
        <w:rPr>
          <w:rFonts w:eastAsia="Calibri"/>
          <w:color w:val="000000"/>
          <w:lang w:eastAsia="en-US"/>
        </w:rPr>
      </w:pPr>
      <w:r w:rsidRPr="00FF4762">
        <w:rPr>
          <w:rFonts w:eastAsia="Calibri"/>
          <w:color w:val="000000"/>
          <w:lang w:val="en-GB" w:bidi="en-GB"/>
        </w:rPr>
        <w:t>3.3. for the procedure of conducting the audit of the ICS PMLTPF.</w:t>
      </w:r>
    </w:p>
    <w:p w14:paraId="6559D378" w14:textId="77777777" w:rsidR="0022112F" w:rsidRPr="00FF4762" w:rsidRDefault="0022112F" w:rsidP="00AF33EC">
      <w:pPr>
        <w:pStyle w:val="Default"/>
        <w:tabs>
          <w:tab w:val="left" w:pos="0"/>
        </w:tabs>
        <w:ind w:firstLine="360"/>
        <w:jc w:val="both"/>
      </w:pPr>
    </w:p>
    <w:p w14:paraId="3337F767" w14:textId="5347B3E6" w:rsidR="00572A44" w:rsidRDefault="00391481" w:rsidP="008A563C">
      <w:pPr>
        <w:pStyle w:val="Heading3"/>
        <w:spacing w:before="0" w:line="240" w:lineRule="auto"/>
        <w:jc w:val="center"/>
        <w:rPr>
          <w:rFonts w:ascii="Times New Roman" w:hAnsi="Times New Roman" w:cs="Times New Roman"/>
          <w:color w:val="auto"/>
          <w:sz w:val="26"/>
          <w:lang w:val="lv-LV"/>
        </w:rPr>
      </w:pPr>
      <w:r w:rsidRPr="00FF4762">
        <w:rPr>
          <w:rFonts w:ascii="Times New Roman" w:eastAsia="Times New Roman" w:hAnsi="Times New Roman" w:cs="Times New Roman"/>
          <w:color w:val="auto"/>
          <w:sz w:val="26"/>
          <w:szCs w:val="26"/>
          <w:lang w:val="en-GB" w:bidi="en-GB"/>
        </w:rPr>
        <w:t>II. The regularity and scope of conducting the audit of an ICS PMLTPF</w:t>
      </w:r>
    </w:p>
    <w:p w14:paraId="77537ABE" w14:textId="77777777" w:rsidR="00E262DE" w:rsidRPr="008A563C" w:rsidRDefault="00E262DE" w:rsidP="008A563C">
      <w:pPr>
        <w:spacing w:after="0" w:line="240" w:lineRule="auto"/>
        <w:rPr>
          <w:lang w:val="lv-LV"/>
        </w:rPr>
      </w:pPr>
    </w:p>
    <w:p w14:paraId="7617ADD9" w14:textId="339A9576" w:rsidR="00572A44" w:rsidRPr="008A563C" w:rsidRDefault="00CC05B5" w:rsidP="008A563C">
      <w:pPr>
        <w:pStyle w:val="Heading3"/>
        <w:numPr>
          <w:ilvl w:val="0"/>
          <w:numId w:val="17"/>
        </w:numPr>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The institution shall ensure the audit of its ICS PMLTPF, including the information technology system, for compliance with the requirements of regulatory enactments, and the audit of its efficiency at least once every 18 months.</w:t>
      </w:r>
    </w:p>
    <w:p w14:paraId="243FFAF9" w14:textId="77777777" w:rsidR="00970313" w:rsidRPr="008A563C" w:rsidRDefault="00970313" w:rsidP="008A563C">
      <w:pPr>
        <w:spacing w:after="0" w:line="240" w:lineRule="auto"/>
        <w:ind w:firstLine="425"/>
        <w:jc w:val="both"/>
        <w:rPr>
          <w:rFonts w:ascii="Times New Roman" w:hAnsi="Times New Roman" w:cs="Times New Roman"/>
          <w:sz w:val="24"/>
          <w:szCs w:val="24"/>
          <w:lang w:val="lv-LV"/>
        </w:rPr>
      </w:pPr>
    </w:p>
    <w:p w14:paraId="5A0F8337" w14:textId="5CF30444" w:rsidR="00572A44" w:rsidRPr="008A563C" w:rsidRDefault="00182F8D" w:rsidP="008A563C">
      <w:pPr>
        <w:pStyle w:val="Heading3"/>
        <w:numPr>
          <w:ilvl w:val="0"/>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lastRenderedPageBreak/>
        <w:t xml:space="preserve">The institution shall ensure that the audit is conducted by an independent external auditor having at least five years of proven professional experience in conducting the money laundering and terrorism and proliferation financing (hereinafter – MLTPF) risk (including also the information technology system) management audit. </w:t>
      </w:r>
    </w:p>
    <w:p w14:paraId="458BD9E8" w14:textId="77777777" w:rsidR="00970313" w:rsidRPr="008A563C" w:rsidRDefault="00970313" w:rsidP="008A563C">
      <w:pPr>
        <w:spacing w:after="0" w:line="240" w:lineRule="auto"/>
        <w:ind w:firstLine="426"/>
        <w:jc w:val="both"/>
        <w:rPr>
          <w:rFonts w:ascii="Times New Roman" w:hAnsi="Times New Roman" w:cs="Times New Roman"/>
          <w:sz w:val="24"/>
          <w:szCs w:val="24"/>
          <w:lang w:val="lv-LV"/>
        </w:rPr>
      </w:pPr>
    </w:p>
    <w:p w14:paraId="2C8E1D63" w14:textId="4C43AE85" w:rsidR="009431B5" w:rsidRPr="008A563C" w:rsidRDefault="00182F8D" w:rsidP="008A563C">
      <w:pPr>
        <w:pStyle w:val="Heading3"/>
        <w:numPr>
          <w:ilvl w:val="0"/>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The institution shall ensure that the audit is conducted by an independent external auditor having no conflict of interest with the institution, including the following:</w:t>
      </w:r>
    </w:p>
    <w:p w14:paraId="2215A74C" w14:textId="15F4FAE0" w:rsidR="00822445" w:rsidRPr="008A563C" w:rsidRDefault="0040674B" w:rsidP="008A563C">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Times New Roman" w:hAnsi="Times New Roman" w:cs="Times New Roman"/>
          <w:sz w:val="24"/>
          <w:szCs w:val="24"/>
          <w:lang w:val="en-GB" w:bidi="en-GB"/>
        </w:rPr>
        <w:t xml:space="preserve"> he or she is not a person related to the institution;</w:t>
      </w:r>
    </w:p>
    <w:p w14:paraId="18B17A9A" w14:textId="5E2B5F08" w:rsidR="00313463" w:rsidRPr="008A563C" w:rsidRDefault="00822445" w:rsidP="008A563C">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Times New Roman" w:hAnsi="Times New Roman" w:cs="Times New Roman"/>
          <w:sz w:val="24"/>
          <w:szCs w:val="24"/>
          <w:lang w:val="en-GB" w:bidi="en-GB"/>
        </w:rPr>
        <w:t xml:space="preserve"> conditions of pay do not depend on the audit result;</w:t>
      </w:r>
    </w:p>
    <w:p w14:paraId="0B958687" w14:textId="57CBB886" w:rsidR="00313463" w:rsidRDefault="0040674B" w:rsidP="008A563C">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Times New Roman" w:hAnsi="Times New Roman" w:cs="Times New Roman"/>
          <w:sz w:val="24"/>
          <w:szCs w:val="24"/>
          <w:lang w:val="en-GB" w:bidi="en-GB"/>
        </w:rPr>
        <w:t xml:space="preserve"> during the last three years he or she has not provided services to the institution concerning the improvement of the internal control framework, not including the conducting of an audit.</w:t>
      </w:r>
    </w:p>
    <w:p w14:paraId="28B51CDA" w14:textId="38489D5C" w:rsidR="00E262DE" w:rsidRPr="008A563C" w:rsidRDefault="000A4B36" w:rsidP="008A563C">
      <w:pPr>
        <w:pStyle w:val="ListParagraph"/>
        <w:spacing w:after="0" w:line="240" w:lineRule="auto"/>
        <w:ind w:left="426"/>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 xml:space="preserve"> </w:t>
      </w:r>
    </w:p>
    <w:p w14:paraId="6162911F" w14:textId="41117166" w:rsidR="009431B5" w:rsidRPr="00467C1E" w:rsidRDefault="00313463" w:rsidP="008A563C">
      <w:pPr>
        <w:pStyle w:val="Heading3"/>
        <w:numPr>
          <w:ilvl w:val="0"/>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The audit shall be conducted regarding the compliance of the ICS PMLTPF with the requirements of the regulatory enactments and its efficiency, by carrying out an in-depth assessment of those elements of the internal control system that ensure management of the main MLTPF risks.</w:t>
      </w:r>
    </w:p>
    <w:p w14:paraId="5977BC74" w14:textId="77777777" w:rsidR="00330007" w:rsidRPr="00467C1E" w:rsidRDefault="00330007" w:rsidP="008A563C">
      <w:pPr>
        <w:spacing w:after="0" w:line="240" w:lineRule="auto"/>
        <w:ind w:firstLine="426"/>
        <w:rPr>
          <w:rFonts w:ascii="Times New Roman" w:hAnsi="Times New Roman" w:cs="Times New Roman"/>
          <w:lang w:val="lv-LV"/>
        </w:rPr>
      </w:pPr>
    </w:p>
    <w:p w14:paraId="116ABA8E" w14:textId="284E88D5" w:rsidR="007D6952" w:rsidRPr="008A563C" w:rsidRDefault="00265D4C" w:rsidP="008A563C">
      <w:pPr>
        <w:pStyle w:val="Heading3"/>
        <w:numPr>
          <w:ilvl w:val="0"/>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The institution shall ensure that the audit includes at least the following:</w:t>
      </w:r>
    </w:p>
    <w:p w14:paraId="418BC5AF" w14:textId="54E8ECD5" w:rsidR="00D27E8E" w:rsidRPr="008A563C" w:rsidRDefault="001E3C72" w:rsidP="008A563C">
      <w:pPr>
        <w:pStyle w:val="Heading3"/>
        <w:numPr>
          <w:ilvl w:val="1"/>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 xml:space="preserve"> evaluation of the compliance of the MILT risk assessment conducted by the institution of the MLTPF risk inherent to the institution;</w:t>
      </w:r>
    </w:p>
    <w:p w14:paraId="2A2BADDB" w14:textId="66280628" w:rsidR="00D27E8E" w:rsidRPr="008A563C" w:rsidRDefault="00D27E8E" w:rsidP="008A563C">
      <w:pPr>
        <w:pStyle w:val="Heading3"/>
        <w:numPr>
          <w:ilvl w:val="1"/>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AF33EC">
        <w:rPr>
          <w:rFonts w:ascii="Times New Roman" w:eastAsia="Calibri" w:hAnsi="Times New Roman" w:cs="Times New Roman"/>
          <w:b w:val="0"/>
          <w:color w:val="000000"/>
          <w:sz w:val="24"/>
          <w:szCs w:val="24"/>
          <w:lang w:val="en-GB" w:bidi="en-GB"/>
        </w:rPr>
        <w:t xml:space="preserve"> evaluation of the compliance of the ICS PMLTPF with the requirements of the regulatory enactments and its efficiency, which shall include at least the following:</w:t>
      </w:r>
    </w:p>
    <w:p w14:paraId="176151A5" w14:textId="77821C57" w:rsidR="003D425A" w:rsidRPr="008A563C" w:rsidRDefault="00D27E8E"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8A563C">
        <w:rPr>
          <w:rFonts w:ascii="Times New Roman" w:eastAsia="Times New Roman" w:hAnsi="Times New Roman" w:cs="Times New Roman"/>
          <w:b w:val="0"/>
          <w:noProof/>
          <w:color w:val="auto"/>
          <w:sz w:val="24"/>
          <w:szCs w:val="24"/>
          <w:lang w:val="en-GB" w:bidi="en-GB"/>
        </w:rPr>
        <w:t>evaluation of the institution’s policies and procedures, as well as their introduction and implementation;</w:t>
      </w:r>
    </w:p>
    <w:p w14:paraId="68B98359" w14:textId="6EFF1217" w:rsidR="00D27E8E" w:rsidRPr="008A563C" w:rsidRDefault="003D425A"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8A563C">
        <w:rPr>
          <w:rFonts w:ascii="Times New Roman" w:eastAsia="Times New Roman" w:hAnsi="Times New Roman" w:cs="Times New Roman"/>
          <w:b w:val="0"/>
          <w:color w:val="auto"/>
          <w:sz w:val="24"/>
          <w:szCs w:val="24"/>
          <w:lang w:val="en-GB" w:bidi="en-GB"/>
        </w:rPr>
        <w:t xml:space="preserve">evaluation of the compliance of the MLTPF risk management strategy and the set thresholds with the business model of the institution; </w:t>
      </w:r>
    </w:p>
    <w:p w14:paraId="2FF0D08A" w14:textId="2D279028" w:rsidR="00D27E8E" w:rsidRPr="008A563C" w:rsidRDefault="00D27E8E"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8A563C">
        <w:rPr>
          <w:rFonts w:ascii="Times New Roman" w:eastAsia="Times New Roman" w:hAnsi="Times New Roman" w:cs="Times New Roman"/>
          <w:b w:val="0"/>
          <w:color w:val="auto"/>
          <w:sz w:val="24"/>
          <w:szCs w:val="24"/>
          <w:lang w:val="en-GB" w:bidi="en-GB"/>
        </w:rPr>
        <w:t xml:space="preserve">evaluation of the institution’s customer risk numerical assessment system (the </w:t>
      </w:r>
      <w:r w:rsidRPr="008A563C">
        <w:rPr>
          <w:rFonts w:ascii="Times New Roman" w:eastAsia="Times New Roman" w:hAnsi="Times New Roman" w:cs="Times New Roman"/>
          <w:b w:val="0"/>
          <w:i/>
          <w:color w:val="auto"/>
          <w:sz w:val="24"/>
          <w:szCs w:val="24"/>
          <w:lang w:val="en-GB" w:bidi="en-GB"/>
        </w:rPr>
        <w:t>scoring</w:t>
      </w:r>
      <w:r w:rsidRPr="008A563C">
        <w:rPr>
          <w:rFonts w:ascii="Times New Roman" w:eastAsia="Times New Roman" w:hAnsi="Times New Roman" w:cs="Times New Roman"/>
          <w:b w:val="0"/>
          <w:color w:val="auto"/>
          <w:sz w:val="24"/>
          <w:szCs w:val="24"/>
          <w:lang w:val="en-GB" w:bidi="en-GB"/>
        </w:rPr>
        <w:t xml:space="preserve"> system), including the compliance of the customer base, classification with the requirements prescribed by the regulatory enactments that regulate enhanced customer due diligence;</w:t>
      </w:r>
    </w:p>
    <w:p w14:paraId="0498AA27" w14:textId="3DF8E823" w:rsidR="00212866" w:rsidRPr="00FF4762" w:rsidRDefault="00D27E8E"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AF33EC">
        <w:rPr>
          <w:rFonts w:ascii="Times New Roman" w:eastAsia="Calibri" w:hAnsi="Times New Roman" w:cs="Times New Roman"/>
          <w:b w:val="0"/>
          <w:color w:val="000000"/>
          <w:sz w:val="24"/>
          <w:szCs w:val="24"/>
          <w:lang w:val="en-GB" w:bidi="en-GB"/>
        </w:rPr>
        <w:t>evaluation of the extent and quality of the customer due diligence and enhanced customer due diligence, including the information and documents to be evaluated;</w:t>
      </w:r>
    </w:p>
    <w:p w14:paraId="00374FAF" w14:textId="235B1C67" w:rsidR="00D02718" w:rsidRPr="008A563C" w:rsidRDefault="00212866" w:rsidP="008A563C">
      <w:pPr>
        <w:pStyle w:val="ListParagraph"/>
        <w:numPr>
          <w:ilvl w:val="2"/>
          <w:numId w:val="17"/>
        </w:numPr>
        <w:shd w:val="clear" w:color="auto" w:fill="FFFFFF"/>
        <w:spacing w:after="0" w:line="240" w:lineRule="auto"/>
        <w:ind w:left="0" w:firstLine="426"/>
        <w:jc w:val="both"/>
        <w:rPr>
          <w:rFonts w:ascii="Times New Roman" w:eastAsia="Calibri" w:hAnsi="Times New Roman" w:cs="Times New Roman"/>
          <w:sz w:val="24"/>
          <w:szCs w:val="24"/>
          <w:lang w:val="lv-LV"/>
        </w:rPr>
      </w:pPr>
      <w:r w:rsidRPr="00FF4762">
        <w:rPr>
          <w:rFonts w:ascii="Times New Roman" w:eastAsia="Times New Roman" w:hAnsi="Times New Roman" w:cs="Times New Roman"/>
          <w:color w:val="000000" w:themeColor="text1"/>
          <w:sz w:val="24"/>
          <w:szCs w:val="24"/>
          <w:lang w:val="en-GB" w:bidi="en-GB"/>
        </w:rPr>
        <w:t>evaluation of the identification and documentation requirements of interrelated groups of customers;</w:t>
      </w:r>
    </w:p>
    <w:p w14:paraId="0FA5F282" w14:textId="7AA3668A" w:rsidR="00D02718" w:rsidRPr="008A563C" w:rsidRDefault="00D27E8E" w:rsidP="008A563C">
      <w:pPr>
        <w:pStyle w:val="ListParagraph"/>
        <w:numPr>
          <w:ilvl w:val="2"/>
          <w:numId w:val="17"/>
        </w:numPr>
        <w:shd w:val="clear" w:color="auto" w:fill="FFFFFF"/>
        <w:spacing w:after="0" w:line="240" w:lineRule="auto"/>
        <w:ind w:left="0" w:firstLine="426"/>
        <w:jc w:val="both"/>
        <w:rPr>
          <w:rFonts w:ascii="Times New Roman" w:eastAsia="Calibri" w:hAnsi="Times New Roman" w:cs="Times New Roman"/>
          <w:sz w:val="24"/>
          <w:szCs w:val="24"/>
          <w:lang w:val="lv-LV"/>
        </w:rPr>
      </w:pPr>
      <w:r w:rsidRPr="00AF33EC">
        <w:rPr>
          <w:rFonts w:ascii="Times New Roman" w:eastAsia="Calibri" w:hAnsi="Times New Roman" w:cs="Times New Roman"/>
          <w:color w:val="000000"/>
          <w:sz w:val="24"/>
          <w:szCs w:val="24"/>
          <w:lang w:val="en-GB" w:bidi="en-GB"/>
        </w:rPr>
        <w:t>evaluation of the procedures for transaction supervision, reporting on suspicious transactions and other reporting and refraining from the processing of a transaction laid down in the regulatory enactments of the MLTPF prevention field;</w:t>
      </w:r>
    </w:p>
    <w:p w14:paraId="0853D9B4" w14:textId="61D22047" w:rsidR="00D27E8E" w:rsidRPr="008A563C" w:rsidRDefault="00E57F04" w:rsidP="00AF33EC">
      <w:pPr>
        <w:pStyle w:val="ListParagraph"/>
        <w:numPr>
          <w:ilvl w:val="2"/>
          <w:numId w:val="17"/>
        </w:numPr>
        <w:shd w:val="clear" w:color="auto" w:fill="FFFFFF"/>
        <w:spacing w:after="0" w:line="240" w:lineRule="auto"/>
        <w:ind w:left="0" w:firstLine="426"/>
        <w:jc w:val="both"/>
        <w:rPr>
          <w:rFonts w:ascii="Times New Roman" w:eastAsia="Calibri" w:hAnsi="Times New Roman" w:cs="Times New Roman"/>
          <w:sz w:val="24"/>
          <w:szCs w:val="24"/>
          <w:lang w:val="lv-LV"/>
        </w:rPr>
      </w:pPr>
      <w:r w:rsidRPr="00AF33EC">
        <w:rPr>
          <w:rFonts w:ascii="Times New Roman" w:eastAsia="Calibri" w:hAnsi="Times New Roman" w:cs="Times New Roman"/>
          <w:color w:val="000000"/>
          <w:sz w:val="24"/>
          <w:szCs w:val="24"/>
          <w:lang w:val="en-GB" w:bidi="en-GB"/>
        </w:rPr>
        <w:t>evaluation of cooperation with third persons that perform customer identification or customer due diligence on behalf of the institution;</w:t>
      </w:r>
    </w:p>
    <w:p w14:paraId="13D37AFA" w14:textId="36F91F18" w:rsidR="00D27E8E" w:rsidRPr="008A563C" w:rsidRDefault="009668CD" w:rsidP="00AF33E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AF33EC">
        <w:rPr>
          <w:rFonts w:ascii="Times New Roman" w:eastAsia="Calibri" w:hAnsi="Times New Roman" w:cs="Times New Roman"/>
          <w:b w:val="0"/>
          <w:color w:val="000000"/>
          <w:sz w:val="24"/>
          <w:szCs w:val="24"/>
          <w:lang w:val="en-GB" w:bidi="en-GB"/>
        </w:rPr>
        <w:t>evaluation of the procedures for keeping the information obtained during customer due diligence;</w:t>
      </w:r>
    </w:p>
    <w:p w14:paraId="33217F38" w14:textId="0253332B" w:rsidR="00D27E8E" w:rsidRPr="008A563C" w:rsidRDefault="00D97C79"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auto"/>
          <w:sz w:val="24"/>
          <w:szCs w:val="24"/>
          <w:lang w:val="lv-LV"/>
        </w:rPr>
      </w:pPr>
      <w:r w:rsidRPr="00AF33EC">
        <w:rPr>
          <w:rFonts w:ascii="Times New Roman" w:eastAsia="Calibri" w:hAnsi="Times New Roman" w:cs="Times New Roman"/>
          <w:b w:val="0"/>
          <w:color w:val="000000"/>
          <w:sz w:val="24"/>
          <w:szCs w:val="24"/>
          <w:lang w:val="en-GB" w:bidi="en-GB"/>
        </w:rPr>
        <w:t>evaluation of the specialised information technology system and its functionality for management of the MLTPF risk;</w:t>
      </w:r>
    </w:p>
    <w:p w14:paraId="271A5C3D" w14:textId="552D2426" w:rsidR="00D27E8E" w:rsidRPr="008A563C" w:rsidRDefault="00D27E8E" w:rsidP="008A563C">
      <w:pPr>
        <w:pStyle w:val="Heading3"/>
        <w:numPr>
          <w:ilvl w:val="2"/>
          <w:numId w:val="17"/>
        </w:numPr>
        <w:shd w:val="clear" w:color="auto" w:fill="FFFFFF"/>
        <w:spacing w:before="0" w:line="240" w:lineRule="auto"/>
        <w:ind w:left="0" w:firstLine="426"/>
        <w:jc w:val="both"/>
        <w:rPr>
          <w:rFonts w:ascii="Times New Roman" w:eastAsia="Calibri" w:hAnsi="Times New Roman" w:cs="Times New Roman"/>
          <w:b w:val="0"/>
          <w:color w:val="000000"/>
          <w:sz w:val="24"/>
          <w:szCs w:val="24"/>
          <w:lang w:val="lv-LV"/>
        </w:rPr>
      </w:pPr>
      <w:r w:rsidRPr="008A563C">
        <w:rPr>
          <w:rFonts w:ascii="Times New Roman" w:eastAsia="Calibri" w:hAnsi="Times New Roman" w:cs="Times New Roman"/>
          <w:b w:val="0"/>
          <w:color w:val="000000"/>
          <w:sz w:val="24"/>
          <w:szCs w:val="24"/>
          <w:lang w:val="en-GB" w:bidi="en-GB"/>
        </w:rPr>
        <w:t>evaluation of the rights, duties and responsibilities of employees;</w:t>
      </w:r>
    </w:p>
    <w:p w14:paraId="39516248" w14:textId="3FD0B646" w:rsidR="00D27E8E" w:rsidRPr="008A563C" w:rsidRDefault="00D27E8E" w:rsidP="008A563C">
      <w:pPr>
        <w:pStyle w:val="ListParagraph"/>
        <w:numPr>
          <w:ilvl w:val="2"/>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Times New Roman" w:hAnsi="Times New Roman" w:cs="Times New Roman"/>
          <w:sz w:val="24"/>
          <w:szCs w:val="24"/>
          <w:lang w:val="en-GB" w:bidi="en-GB"/>
        </w:rPr>
        <w:t>evaluation of the supervision of compliance of staff training and qualifications;</w:t>
      </w:r>
    </w:p>
    <w:p w14:paraId="023440FF" w14:textId="4CDE9A43" w:rsidR="00D27E8E" w:rsidRPr="008A563C" w:rsidRDefault="00D27E8E" w:rsidP="008A563C">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Calibri" w:hAnsi="Times New Roman" w:cs="Times New Roman"/>
          <w:color w:val="000000"/>
          <w:sz w:val="24"/>
          <w:szCs w:val="24"/>
          <w:lang w:val="en-GB" w:bidi="en-GB"/>
        </w:rPr>
        <w:t xml:space="preserve"> sample testing of customers’ cases and customers’ transactions in order to test the efficiency of the institution’s ICS PMLTPF in practice;</w:t>
      </w:r>
    </w:p>
    <w:p w14:paraId="256C9535" w14:textId="12D0EB8A" w:rsidR="00972114" w:rsidRPr="008A563C" w:rsidRDefault="00972114" w:rsidP="008A563C">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Calibri" w:hAnsi="Times New Roman" w:cs="Times New Roman"/>
          <w:color w:val="000000"/>
          <w:sz w:val="24"/>
          <w:szCs w:val="24"/>
          <w:lang w:val="en-GB" w:bidi="en-GB"/>
        </w:rPr>
        <w:lastRenderedPageBreak/>
        <w:t xml:space="preserve"> evaluation of the results of the carried out inspections by the institution’s internal audit and compliance structural units relating to the management of the MLTPF risk within the period to be audited;</w:t>
      </w:r>
    </w:p>
    <w:p w14:paraId="5FD54F27" w14:textId="03AD3B73" w:rsidR="00151BCD" w:rsidRPr="005B629B" w:rsidRDefault="00D27E8E" w:rsidP="005B629B">
      <w:pPr>
        <w:pStyle w:val="ListParagraph"/>
        <w:numPr>
          <w:ilvl w:val="1"/>
          <w:numId w:val="17"/>
        </w:numPr>
        <w:spacing w:after="0" w:line="240" w:lineRule="auto"/>
        <w:ind w:left="0" w:firstLine="426"/>
        <w:jc w:val="both"/>
        <w:rPr>
          <w:rFonts w:ascii="Times New Roman" w:hAnsi="Times New Roman" w:cs="Times New Roman"/>
          <w:sz w:val="24"/>
          <w:szCs w:val="24"/>
          <w:lang w:val="lv-LV"/>
        </w:rPr>
      </w:pPr>
      <w:r w:rsidRPr="008A563C">
        <w:rPr>
          <w:rFonts w:ascii="Times New Roman" w:eastAsia="Times New Roman" w:hAnsi="Times New Roman" w:cs="Times New Roman"/>
          <w:color w:val="000000"/>
          <w:sz w:val="24"/>
          <w:szCs w:val="24"/>
          <w:lang w:val="en-GB" w:bidi="en-GB"/>
        </w:rPr>
        <w:t xml:space="preserve"> evaluation of the elimination of deficiencies (introduction of improvements) resulting from the previous audits.</w:t>
      </w:r>
    </w:p>
    <w:p w14:paraId="12A23008" w14:textId="77777777" w:rsidR="005B629B" w:rsidRPr="005B629B" w:rsidRDefault="005B629B" w:rsidP="005B629B">
      <w:pPr>
        <w:rPr>
          <w:lang w:val="lv-LV"/>
        </w:rPr>
      </w:pPr>
    </w:p>
    <w:p w14:paraId="68A5C9B5" w14:textId="18135BDB" w:rsidR="00151BCD" w:rsidRPr="005B629B" w:rsidRDefault="005B629B" w:rsidP="005B629B">
      <w:pPr>
        <w:pStyle w:val="ListParagraph"/>
        <w:numPr>
          <w:ilvl w:val="0"/>
          <w:numId w:val="17"/>
        </w:numPr>
        <w:ind w:left="0" w:firstLine="357"/>
        <w:jc w:val="both"/>
        <w:rPr>
          <w:lang w:val="lv-LV"/>
        </w:rPr>
      </w:pPr>
      <w:r>
        <w:rPr>
          <w:rFonts w:ascii="Times New Roman" w:eastAsia="Times New Roman" w:hAnsi="Times New Roman" w:cs="Times New Roman"/>
          <w:sz w:val="24"/>
          <w:szCs w:val="24"/>
          <w:lang w:val="en-GB" w:bidi="en-GB"/>
        </w:rPr>
        <w:t xml:space="preserve"> In addition to the mandatory requirements prescribed in these Regulations, the institution may include other elements in its audit, including evaluation of the requirement observation of the industry guidelines in accordance with the MLTPF risk inherent to the institution.</w:t>
      </w:r>
    </w:p>
    <w:p w14:paraId="059BB271" w14:textId="77777777" w:rsidR="005B629B" w:rsidRPr="005B629B" w:rsidRDefault="005B629B" w:rsidP="005B629B">
      <w:pPr>
        <w:pStyle w:val="ListParagraph"/>
        <w:ind w:left="357"/>
        <w:jc w:val="both"/>
        <w:rPr>
          <w:lang w:val="lv-LV"/>
        </w:rPr>
      </w:pPr>
    </w:p>
    <w:p w14:paraId="02C68A94" w14:textId="44150821" w:rsidR="00151BCD" w:rsidRPr="008A563C" w:rsidRDefault="00CA0990" w:rsidP="00AF33E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 xml:space="preserve">In the sample testing of customer cases and their transactions the number of customers to be inspected shall be determined commensurately and proportionately to the total number of the institution’s customers in the respective customer risk group, covering the risks inherent to the institution and its customers identified in the MLTPF risk assessment. </w:t>
      </w:r>
    </w:p>
    <w:p w14:paraId="599C0DD6" w14:textId="77777777" w:rsidR="00151BCD" w:rsidRPr="008A563C" w:rsidRDefault="00151BCD">
      <w:pPr>
        <w:pStyle w:val="ListParagraph"/>
        <w:spacing w:after="0" w:line="240" w:lineRule="auto"/>
        <w:ind w:left="0" w:right="-1" w:firstLine="426"/>
        <w:jc w:val="both"/>
        <w:rPr>
          <w:rFonts w:ascii="Times New Roman" w:hAnsi="Times New Roman" w:cs="Times New Roman"/>
          <w:noProof/>
          <w:sz w:val="24"/>
          <w:szCs w:val="24"/>
          <w:lang w:val="lv-LV"/>
        </w:rPr>
      </w:pPr>
    </w:p>
    <w:p w14:paraId="37AECC7F" w14:textId="15BEF3CF" w:rsidR="00151BCD" w:rsidRPr="008A563C" w:rsidRDefault="00151BCD">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The institution shall ensure that the audit report includes:</w:t>
      </w:r>
    </w:p>
    <w:p w14:paraId="47E7FD14" w14:textId="75E5A0CB" w:rsidR="00151BCD" w:rsidRPr="008A563C" w:rsidRDefault="00151BCD">
      <w:pPr>
        <w:pStyle w:val="ListParagraph"/>
        <w:numPr>
          <w:ilvl w:val="1"/>
          <w:numId w:val="17"/>
        </w:numPr>
        <w:spacing w:after="0" w:line="240" w:lineRule="auto"/>
        <w:ind w:left="0"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the methodology of the ICF PMLTPF evaluation;</w:t>
      </w:r>
    </w:p>
    <w:p w14:paraId="29E4B30C" w14:textId="62413219" w:rsidR="00151BCD" w:rsidRPr="008A563C" w:rsidRDefault="00151BCD">
      <w:pPr>
        <w:pStyle w:val="ListParagraph"/>
        <w:numPr>
          <w:ilvl w:val="1"/>
          <w:numId w:val="17"/>
        </w:numPr>
        <w:spacing w:after="0" w:line="240" w:lineRule="auto"/>
        <w:ind w:left="0"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evaluation of the compliance of the ICS PMLTPF with the requirements of the regulatory enactments on MLTPF prevention and its efficiency;</w:t>
      </w:r>
    </w:p>
    <w:p w14:paraId="45B5917A" w14:textId="62011334" w:rsidR="00151BCD" w:rsidRPr="008A563C" w:rsidRDefault="00151BCD">
      <w:pPr>
        <w:pStyle w:val="ListParagraph"/>
        <w:numPr>
          <w:ilvl w:val="1"/>
          <w:numId w:val="17"/>
        </w:numPr>
        <w:spacing w:after="0" w:line="240" w:lineRule="auto"/>
        <w:ind w:left="0"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observations and shortcomings (deficiencies), indicating the assessment of the impact of the identified deficiencies;</w:t>
      </w:r>
    </w:p>
    <w:p w14:paraId="014F1766" w14:textId="7A2BCB3C" w:rsidR="00F63B1C" w:rsidRPr="008A563C" w:rsidRDefault="009A1C88" w:rsidP="008A563C">
      <w:pPr>
        <w:pStyle w:val="ListParagraph"/>
        <w:numPr>
          <w:ilvl w:val="1"/>
          <w:numId w:val="17"/>
        </w:numPr>
        <w:spacing w:after="0" w:line="240" w:lineRule="auto"/>
        <w:ind w:left="0" w:firstLine="426"/>
        <w:jc w:val="both"/>
        <w:rPr>
          <w:rFonts w:ascii="Times New Roman" w:eastAsia="Calibri" w:hAnsi="Times New Roman" w:cs="Times New Roman"/>
          <w:color w:val="000000"/>
          <w:sz w:val="24"/>
          <w:szCs w:val="24"/>
          <w:lang w:val="lv-LV"/>
        </w:rPr>
      </w:pPr>
      <w:r w:rsidRPr="008A563C">
        <w:rPr>
          <w:rFonts w:ascii="Times New Roman" w:eastAsia="Calibri" w:hAnsi="Times New Roman" w:cs="Times New Roman"/>
          <w:color w:val="000000"/>
          <w:sz w:val="24"/>
          <w:szCs w:val="24"/>
          <w:lang w:val="en-GB" w:bidi="en-GB"/>
        </w:rPr>
        <w:t>measures or recommendations to be carried out for the improvement of the ICS PMLTPF according to each element of the scope of the audit.</w:t>
      </w:r>
    </w:p>
    <w:p w14:paraId="52416431" w14:textId="77777777" w:rsidR="00F63B1C" w:rsidRPr="008A563C" w:rsidRDefault="00F63B1C" w:rsidP="00AF33EC">
      <w:pPr>
        <w:pStyle w:val="ListParagraph"/>
        <w:spacing w:after="0" w:line="240" w:lineRule="auto"/>
        <w:ind w:left="357"/>
        <w:jc w:val="both"/>
        <w:rPr>
          <w:rFonts w:ascii="Times New Roman" w:eastAsia="Calibri" w:hAnsi="Times New Roman" w:cs="Times New Roman"/>
          <w:color w:val="000000"/>
          <w:sz w:val="24"/>
          <w:szCs w:val="24"/>
          <w:lang w:val="lv-LV"/>
        </w:rPr>
      </w:pPr>
    </w:p>
    <w:p w14:paraId="31AD9839" w14:textId="59595611" w:rsidR="00F63B1C" w:rsidRPr="008A563C" w:rsidRDefault="00F63B1C" w:rsidP="00AF33EC">
      <w:pPr>
        <w:pStyle w:val="ListParagraph"/>
        <w:spacing w:after="0" w:line="240" w:lineRule="auto"/>
        <w:ind w:left="357"/>
        <w:jc w:val="center"/>
        <w:rPr>
          <w:rFonts w:ascii="Times New Roman" w:hAnsi="Times New Roman" w:cs="Times New Roman"/>
          <w:noProof/>
          <w:sz w:val="24"/>
          <w:szCs w:val="24"/>
          <w:lang w:val="lv-LV"/>
        </w:rPr>
      </w:pPr>
      <w:r w:rsidRPr="008A563C">
        <w:rPr>
          <w:rFonts w:ascii="Times New Roman" w:eastAsia="Calibri" w:hAnsi="Times New Roman" w:cs="Times New Roman"/>
          <w:b/>
          <w:color w:val="000000"/>
          <w:sz w:val="24"/>
          <w:szCs w:val="24"/>
          <w:lang w:val="en-GB" w:bidi="en-GB"/>
        </w:rPr>
        <w:t xml:space="preserve">III. </w:t>
      </w:r>
      <w:r w:rsidRPr="00AF33EC">
        <w:rPr>
          <w:rFonts w:ascii="Times New Roman" w:eastAsia="Times New Roman" w:hAnsi="Times New Roman" w:cs="Times New Roman"/>
          <w:b/>
          <w:sz w:val="26"/>
          <w:szCs w:val="26"/>
          <w:lang w:val="en-GB" w:bidi="en-GB"/>
        </w:rPr>
        <w:t>The procedure for conducting the audit of the ICF PMLTPF</w:t>
      </w:r>
    </w:p>
    <w:p w14:paraId="0F7108CB" w14:textId="77777777" w:rsidR="000D39FD" w:rsidRPr="008A563C" w:rsidRDefault="000D39FD">
      <w:pPr>
        <w:pStyle w:val="ListParagraph"/>
        <w:spacing w:after="0" w:line="240" w:lineRule="auto"/>
        <w:ind w:left="360" w:right="-1"/>
        <w:jc w:val="both"/>
        <w:rPr>
          <w:rFonts w:ascii="Times New Roman" w:hAnsi="Times New Roman" w:cs="Times New Roman"/>
          <w:noProof/>
          <w:sz w:val="24"/>
          <w:szCs w:val="24"/>
          <w:lang w:val="lv-LV"/>
        </w:rPr>
      </w:pPr>
    </w:p>
    <w:p w14:paraId="5D4C5627" w14:textId="7229441F" w:rsidR="000D39FD" w:rsidRPr="008A563C" w:rsidRDefault="00CF6188" w:rsidP="008A563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If the institution ensures the audit concerning individual elements (in part), it ensures that within 18 months the audit is conducted in full.</w:t>
      </w:r>
    </w:p>
    <w:p w14:paraId="7A9565C3" w14:textId="77777777" w:rsidR="007B05CA" w:rsidRPr="008A563C" w:rsidRDefault="007B05CA" w:rsidP="008A563C">
      <w:pPr>
        <w:pStyle w:val="ListParagraph"/>
        <w:spacing w:after="0" w:line="240" w:lineRule="auto"/>
        <w:ind w:left="0" w:right="-1" w:firstLine="426"/>
        <w:jc w:val="both"/>
        <w:rPr>
          <w:rFonts w:ascii="Times New Roman" w:hAnsi="Times New Roman" w:cs="Times New Roman"/>
          <w:noProof/>
          <w:sz w:val="24"/>
          <w:szCs w:val="24"/>
          <w:lang w:val="lv-LV"/>
        </w:rPr>
      </w:pPr>
    </w:p>
    <w:p w14:paraId="5B59FB80" w14:textId="434F2FCB" w:rsidR="007B05CA" w:rsidRPr="00AF33EC" w:rsidRDefault="007B05CA" w:rsidP="008A563C">
      <w:pPr>
        <w:pStyle w:val="ListParagraph"/>
        <w:numPr>
          <w:ilvl w:val="0"/>
          <w:numId w:val="17"/>
        </w:numPr>
        <w:spacing w:after="0" w:line="240" w:lineRule="auto"/>
        <w:ind w:left="0" w:firstLine="426"/>
        <w:jc w:val="both"/>
        <w:rPr>
          <w:rFonts w:ascii="Times New Roman" w:eastAsia="Calibri" w:hAnsi="Times New Roman" w:cs="Times New Roman"/>
          <w:color w:val="000000"/>
          <w:sz w:val="24"/>
          <w:szCs w:val="24"/>
          <w:lang w:val="lv-LV"/>
        </w:rPr>
      </w:pPr>
      <w:r w:rsidRPr="00AF33EC">
        <w:rPr>
          <w:rFonts w:ascii="Times New Roman" w:eastAsia="Times New Roman" w:hAnsi="Times New Roman" w:cs="Times New Roman"/>
          <w:sz w:val="24"/>
          <w:szCs w:val="24"/>
          <w:lang w:val="en-GB" w:bidi="en-GB"/>
        </w:rPr>
        <w:t>The reference point of the audit period is considered the last date when the report on audit results is submitted to the institution.</w:t>
      </w:r>
    </w:p>
    <w:p w14:paraId="38865D69" w14:textId="7DFD75D4" w:rsidR="000D39FD" w:rsidRPr="008A563C" w:rsidRDefault="000D39FD" w:rsidP="008A563C">
      <w:pPr>
        <w:pStyle w:val="ListParagraph"/>
        <w:spacing w:after="0" w:line="240" w:lineRule="auto"/>
        <w:ind w:left="0" w:right="-1" w:firstLine="426"/>
        <w:jc w:val="both"/>
        <w:rPr>
          <w:rFonts w:ascii="Times New Roman" w:hAnsi="Times New Roman" w:cs="Times New Roman"/>
          <w:noProof/>
          <w:sz w:val="24"/>
          <w:szCs w:val="24"/>
          <w:lang w:val="lv-LV"/>
        </w:rPr>
      </w:pPr>
    </w:p>
    <w:p w14:paraId="6F8AEBA2" w14:textId="1F085F1F" w:rsidR="00E210F6" w:rsidRPr="008A563C" w:rsidRDefault="00CF6188" w:rsidP="008A563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 xml:space="preserve"> If the audit is conducted by several independent external auditors, the institution defines the audit scope for each independent external auditor, ensuring that overall the audit is conducted in full.</w:t>
      </w:r>
    </w:p>
    <w:p w14:paraId="17BEFC6A" w14:textId="77777777" w:rsidR="0023306D" w:rsidRPr="008A563C" w:rsidRDefault="0023306D" w:rsidP="008A563C">
      <w:pPr>
        <w:pStyle w:val="ListParagraph"/>
        <w:spacing w:after="0" w:line="240" w:lineRule="auto"/>
        <w:ind w:left="0" w:right="-1" w:firstLine="426"/>
        <w:jc w:val="both"/>
        <w:rPr>
          <w:rFonts w:ascii="Times New Roman" w:hAnsi="Times New Roman" w:cs="Times New Roman"/>
          <w:noProof/>
          <w:sz w:val="24"/>
          <w:szCs w:val="24"/>
          <w:lang w:val="lv-LV"/>
        </w:rPr>
      </w:pPr>
    </w:p>
    <w:p w14:paraId="3F22B9E0" w14:textId="7D3D1A61" w:rsidR="00435FF7" w:rsidRPr="008A563C" w:rsidRDefault="00435FF7" w:rsidP="008A563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Times New Roman" w:hAnsi="Times New Roman" w:cs="Times New Roman"/>
          <w:noProof/>
          <w:sz w:val="24"/>
          <w:szCs w:val="24"/>
          <w:lang w:val="en-GB" w:bidi="en-GB"/>
        </w:rPr>
        <w:t>The institution shall inform the Financial and Capital Market Commission (hereinafter – the Commission) indicating the planned independent external auditor and the scope. The audit shall be commenced after the receipt of consent by the Commission.</w:t>
      </w:r>
    </w:p>
    <w:p w14:paraId="0559E351" w14:textId="77777777" w:rsidR="00A84299" w:rsidRPr="008A563C" w:rsidRDefault="00A84299" w:rsidP="008A563C">
      <w:pPr>
        <w:pStyle w:val="ListParagraph"/>
        <w:spacing w:after="0" w:line="240" w:lineRule="auto"/>
        <w:ind w:left="0" w:right="-1" w:firstLine="426"/>
        <w:jc w:val="both"/>
        <w:rPr>
          <w:rFonts w:ascii="Times New Roman" w:hAnsi="Times New Roman" w:cs="Times New Roman"/>
          <w:noProof/>
          <w:sz w:val="24"/>
          <w:szCs w:val="24"/>
          <w:lang w:val="lv-LV"/>
        </w:rPr>
      </w:pPr>
    </w:p>
    <w:p w14:paraId="420B0374" w14:textId="69A1C4F3" w:rsidR="00A84299" w:rsidRPr="008A563C" w:rsidRDefault="00A84299" w:rsidP="008A563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Times New Roman" w:hAnsi="Times New Roman" w:cs="Times New Roman"/>
          <w:noProof/>
          <w:sz w:val="24"/>
          <w:szCs w:val="24"/>
          <w:lang w:val="en-GB" w:bidi="en-GB"/>
        </w:rPr>
        <w:t>The institution shall submit the Commission the report on the conducted audit no later than within five days after its receipt.</w:t>
      </w:r>
    </w:p>
    <w:p w14:paraId="390EDC07" w14:textId="77777777" w:rsidR="00435FF7" w:rsidRPr="008A563C" w:rsidRDefault="00435FF7" w:rsidP="008A563C">
      <w:pPr>
        <w:pStyle w:val="ListParagraph"/>
        <w:spacing w:after="0" w:line="240" w:lineRule="auto"/>
        <w:ind w:left="0" w:right="-1" w:firstLine="426"/>
        <w:jc w:val="both"/>
        <w:rPr>
          <w:rFonts w:ascii="Times New Roman" w:hAnsi="Times New Roman" w:cs="Times New Roman"/>
          <w:noProof/>
          <w:sz w:val="24"/>
          <w:szCs w:val="24"/>
          <w:lang w:val="lv-LV"/>
        </w:rPr>
      </w:pPr>
    </w:p>
    <w:p w14:paraId="2B0DB64E" w14:textId="1DA12726" w:rsidR="002D705E" w:rsidRPr="008A563C" w:rsidRDefault="00B54568" w:rsidP="008A563C">
      <w:pPr>
        <w:pStyle w:val="ListParagraph"/>
        <w:numPr>
          <w:ilvl w:val="0"/>
          <w:numId w:val="17"/>
        </w:numPr>
        <w:spacing w:after="0" w:line="240" w:lineRule="auto"/>
        <w:ind w:left="0" w:right="-1" w:firstLine="426"/>
        <w:jc w:val="both"/>
        <w:rPr>
          <w:rFonts w:ascii="Times New Roman" w:hAnsi="Times New Roman" w:cs="Times New Roman"/>
          <w:noProof/>
          <w:sz w:val="24"/>
          <w:szCs w:val="24"/>
          <w:lang w:val="lv-LV"/>
        </w:rPr>
      </w:pPr>
      <w:r w:rsidRPr="008A563C">
        <w:rPr>
          <w:rFonts w:ascii="Times New Roman" w:eastAsia="Calibri" w:hAnsi="Times New Roman" w:cs="Times New Roman"/>
          <w:color w:val="000000"/>
          <w:sz w:val="24"/>
          <w:szCs w:val="24"/>
          <w:lang w:val="en-GB" w:bidi="en-GB"/>
        </w:rPr>
        <w:t xml:space="preserve">Within a reasonable period of time, not exceeding three months from the date when the audit report has been submitted to the institution, the institution shall develop a plan for the deficiency and shortcoming elimination measures and recommendation introduction, approved by the board of the institution. Within one month from the approval of the plan by </w:t>
      </w:r>
      <w:r w:rsidRPr="008A563C">
        <w:rPr>
          <w:rFonts w:ascii="Times New Roman" w:eastAsia="Calibri" w:hAnsi="Times New Roman" w:cs="Times New Roman"/>
          <w:color w:val="000000"/>
          <w:sz w:val="24"/>
          <w:szCs w:val="24"/>
          <w:lang w:val="en-GB" w:bidi="en-GB"/>
        </w:rPr>
        <w:lastRenderedPageBreak/>
        <w:t>the board, the institution submits the plan and coordinates it with the Commission. The institution shall inform the Commission about the fulfilment of the plan at least once per quarter.</w:t>
      </w:r>
    </w:p>
    <w:p w14:paraId="3A20E102" w14:textId="77777777" w:rsidR="00180547" w:rsidRPr="008A563C" w:rsidRDefault="00180547" w:rsidP="008A563C">
      <w:pPr>
        <w:spacing w:after="0" w:line="240" w:lineRule="auto"/>
        <w:ind w:right="-1" w:firstLine="426"/>
        <w:rPr>
          <w:rFonts w:ascii="Times New Roman" w:hAnsi="Times New Roman" w:cs="Times New Roman"/>
          <w:noProof/>
          <w:sz w:val="24"/>
          <w:szCs w:val="24"/>
          <w:lang w:val="lv-LV"/>
        </w:rPr>
      </w:pPr>
    </w:p>
    <w:p w14:paraId="285EC72C" w14:textId="77777777" w:rsidR="00027CF8" w:rsidRPr="008A563C" w:rsidRDefault="00027CF8">
      <w:pPr>
        <w:spacing w:after="0" w:line="240" w:lineRule="auto"/>
        <w:ind w:right="-1"/>
        <w:rPr>
          <w:rFonts w:ascii="Times New Roman" w:hAnsi="Times New Roman" w:cs="Times New Roman"/>
          <w:noProof/>
          <w:sz w:val="24"/>
          <w:szCs w:val="24"/>
          <w:lang w:val="lv-LV"/>
        </w:rPr>
      </w:pPr>
      <w:r w:rsidRPr="008A563C">
        <w:rPr>
          <w:rFonts w:ascii="Times New Roman" w:eastAsia="Times New Roman" w:hAnsi="Times New Roman" w:cs="Times New Roman"/>
          <w:noProof/>
          <w:sz w:val="24"/>
          <w:szCs w:val="24"/>
          <w:lang w:val="en-GB" w:bidi="en-GB"/>
        </w:rPr>
        <w:t>Chairperson of the Financial and Capital</w:t>
      </w:r>
    </w:p>
    <w:p w14:paraId="570BB302" w14:textId="0FBD71B5" w:rsidR="00027CF8" w:rsidRPr="008A563C" w:rsidRDefault="00027CF8" w:rsidP="00ED4719">
      <w:pPr>
        <w:tabs>
          <w:tab w:val="left" w:pos="6379"/>
        </w:tabs>
        <w:spacing w:after="0" w:line="240" w:lineRule="auto"/>
        <w:ind w:right="-900"/>
        <w:rPr>
          <w:rFonts w:ascii="Times New Roman" w:hAnsi="Times New Roman" w:cs="Times New Roman"/>
          <w:noProof/>
          <w:sz w:val="24"/>
          <w:szCs w:val="24"/>
          <w:lang w:val="lv-LV"/>
        </w:rPr>
      </w:pPr>
      <w:r w:rsidRPr="008A563C">
        <w:rPr>
          <w:rFonts w:ascii="Times New Roman" w:eastAsia="Times New Roman" w:hAnsi="Times New Roman" w:cs="Times New Roman"/>
          <w:noProof/>
          <w:sz w:val="24"/>
          <w:szCs w:val="24"/>
          <w:lang w:val="en-GB" w:bidi="en-GB"/>
        </w:rPr>
        <w:t>Market Commission</w:t>
      </w:r>
      <w:r w:rsidRPr="008A563C">
        <w:rPr>
          <w:rFonts w:ascii="Times New Roman" w:eastAsia="Times New Roman" w:hAnsi="Times New Roman" w:cs="Times New Roman"/>
          <w:noProof/>
          <w:sz w:val="24"/>
          <w:szCs w:val="24"/>
          <w:lang w:val="en-GB" w:bidi="en-GB"/>
        </w:rPr>
        <w:tab/>
        <w:t>K. Černaja-Mežmale</w:t>
      </w:r>
    </w:p>
    <w:p w14:paraId="76DF2D43" w14:textId="77777777" w:rsidR="00027CF8" w:rsidRPr="00AF33EC" w:rsidRDefault="00027CF8">
      <w:pPr>
        <w:pStyle w:val="Nobeigums"/>
        <w:rPr>
          <w:b/>
          <w:bCs/>
          <w:sz w:val="20"/>
          <w:lang w:val="lv-LV"/>
        </w:rPr>
      </w:pPr>
    </w:p>
    <w:p w14:paraId="6AD865DD" w14:textId="77777777" w:rsidR="00027CF8" w:rsidRPr="00FF4762" w:rsidRDefault="00027CF8">
      <w:pPr>
        <w:pStyle w:val="Nobeigums"/>
        <w:rPr>
          <w:b/>
          <w:bCs/>
          <w:sz w:val="20"/>
          <w:lang w:val="lv-LV"/>
        </w:rPr>
      </w:pPr>
      <w:r w:rsidRPr="00FF4762">
        <w:rPr>
          <w:b/>
          <w:sz w:val="20"/>
          <w:lang w:val="en-GB" w:bidi="en-GB"/>
        </w:rPr>
        <w:t xml:space="preserve">THIS DOCUMENT IS SIGNED IN ELECTRONIC FORM </w:t>
      </w:r>
    </w:p>
    <w:p w14:paraId="0AC8B950" w14:textId="77777777" w:rsidR="00027CF8" w:rsidRPr="00FF4762" w:rsidRDefault="00027CF8">
      <w:pPr>
        <w:pStyle w:val="Nobeigums"/>
        <w:rPr>
          <w:b/>
          <w:bCs/>
          <w:sz w:val="20"/>
          <w:lang w:val="lv-LV"/>
        </w:rPr>
      </w:pPr>
      <w:r w:rsidRPr="00FF4762">
        <w:rPr>
          <w:b/>
          <w:sz w:val="20"/>
          <w:lang w:val="en-GB" w:bidi="en-GB"/>
        </w:rPr>
        <w:t>WITH A SECURE ELECTRONIC SIGNATURE AND CONTAINS A TIME-STAMP</w:t>
      </w:r>
    </w:p>
    <w:sectPr w:rsidR="00027CF8" w:rsidRPr="00FF4762" w:rsidSect="008A563C">
      <w:headerReference w:type="default" r:id="rId8"/>
      <w:footerReference w:type="default" r:id="rId9"/>
      <w:headerReference w:type="first" r:id="rId10"/>
      <w:footerReference w:type="first" r:id="rId11"/>
      <w:pgSz w:w="11906" w:h="16838"/>
      <w:pgMar w:top="1418" w:right="1418" w:bottom="1701" w:left="1418"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A817" w14:textId="77777777" w:rsidR="003F2FE8" w:rsidRDefault="003F2FE8" w:rsidP="00575E7D">
      <w:pPr>
        <w:spacing w:after="0" w:line="240" w:lineRule="auto"/>
      </w:pPr>
      <w:r>
        <w:separator/>
      </w:r>
    </w:p>
  </w:endnote>
  <w:endnote w:type="continuationSeparator" w:id="0">
    <w:p w14:paraId="3FD121A8" w14:textId="77777777" w:rsidR="003F2FE8" w:rsidRDefault="003F2FE8" w:rsidP="0057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328B" w14:textId="77777777" w:rsidR="00B33E90" w:rsidRDefault="00B33E90">
    <w:pPr>
      <w:pStyle w:val="Footer"/>
      <w:jc w:val="center"/>
    </w:pPr>
  </w:p>
  <w:p w14:paraId="194BBDBD" w14:textId="77777777" w:rsidR="00B33E90" w:rsidRDefault="00B33E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91D1" w14:textId="77777777" w:rsidR="00B33E90" w:rsidRPr="00626CC1" w:rsidRDefault="00B33E90" w:rsidP="00C022BD">
    <w:pPr>
      <w:pStyle w:val="Footer"/>
      <w:jc w:val="right"/>
      <w:rPr>
        <w:rFonts w:ascii="Times New Roman" w:hAnsi="Times New Roman" w:cs="Times New Roman"/>
        <w:sz w:val="24"/>
        <w:szCs w:val="24"/>
      </w:rPr>
    </w:pPr>
  </w:p>
  <w:p w14:paraId="2F2EAAE9" w14:textId="77777777" w:rsidR="00B33E90" w:rsidRPr="00626CC1" w:rsidRDefault="00B33E90">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F682" w14:textId="77777777" w:rsidR="003F2FE8" w:rsidRDefault="003F2FE8" w:rsidP="00575E7D">
      <w:pPr>
        <w:spacing w:after="0" w:line="240" w:lineRule="auto"/>
      </w:pPr>
      <w:r>
        <w:separator/>
      </w:r>
    </w:p>
  </w:footnote>
  <w:footnote w:type="continuationSeparator" w:id="0">
    <w:p w14:paraId="53B09EC9" w14:textId="77777777" w:rsidR="003F2FE8" w:rsidRDefault="003F2FE8" w:rsidP="00575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2878"/>
      <w:docPartObj>
        <w:docPartGallery w:val="Page Numbers (Top of Page)"/>
        <w:docPartUnique/>
      </w:docPartObj>
    </w:sdtPr>
    <w:sdtEndPr>
      <w:rPr>
        <w:noProof/>
      </w:rPr>
    </w:sdtEndPr>
    <w:sdtContent>
      <w:p w14:paraId="366241D6" w14:textId="01586673" w:rsidR="00B33E90" w:rsidRDefault="00B33E90" w:rsidP="008A563C">
        <w:pPr>
          <w:pStyle w:val="Header"/>
          <w:tabs>
            <w:tab w:val="left" w:pos="4620"/>
            <w:tab w:val="center" w:pos="4815"/>
          </w:tabs>
          <w:jc w:val="right"/>
        </w:pPr>
        <w:r>
          <w:rPr>
            <w:lang w:val="en-GB" w:bidi="en-GB"/>
          </w:rPr>
          <w:tab/>
        </w:r>
        <w:r>
          <w:rPr>
            <w:lang w:val="en-GB" w:bidi="en-GB"/>
          </w:rPr>
          <w:tab/>
        </w:r>
        <w:r>
          <w:rPr>
            <w:lang w:val="en-GB" w:bidi="en-GB"/>
          </w:rPr>
          <w:tab/>
        </w:r>
        <w:r w:rsidRPr="00027CF8">
          <w:rPr>
            <w:rFonts w:ascii="Times New Roman" w:eastAsia="Times New Roman" w:hAnsi="Times New Roman" w:cs="Times New Roman"/>
            <w:sz w:val="24"/>
            <w:szCs w:val="24"/>
            <w:lang w:val="en-GB" w:bidi="en-GB"/>
          </w:rPr>
          <w:fldChar w:fldCharType="begin"/>
        </w:r>
        <w:r w:rsidRPr="00027CF8">
          <w:rPr>
            <w:rFonts w:ascii="Times New Roman" w:eastAsia="Times New Roman" w:hAnsi="Times New Roman" w:cs="Times New Roman"/>
            <w:sz w:val="24"/>
            <w:szCs w:val="24"/>
            <w:lang w:val="en-GB" w:bidi="en-GB"/>
          </w:rPr>
          <w:instrText xml:space="preserve"> PAGE   \* MERGEFORMAT </w:instrText>
        </w:r>
        <w:r w:rsidRPr="00027CF8">
          <w:rPr>
            <w:rFonts w:ascii="Times New Roman" w:eastAsia="Times New Roman" w:hAnsi="Times New Roman" w:cs="Times New Roman"/>
            <w:sz w:val="24"/>
            <w:szCs w:val="24"/>
            <w:lang w:val="en-GB" w:bidi="en-GB"/>
          </w:rPr>
          <w:fldChar w:fldCharType="separate"/>
        </w:r>
        <w:r w:rsidR="00D44923">
          <w:rPr>
            <w:rFonts w:ascii="Times New Roman" w:eastAsia="Times New Roman" w:hAnsi="Times New Roman" w:cs="Times New Roman"/>
            <w:noProof/>
            <w:sz w:val="24"/>
            <w:szCs w:val="24"/>
            <w:lang w:val="en-GB" w:bidi="en-GB"/>
          </w:rPr>
          <w:t>3</w:t>
        </w:r>
        <w:r w:rsidRPr="00027CF8">
          <w:rPr>
            <w:rFonts w:ascii="Times New Roman" w:eastAsia="Times New Roman" w:hAnsi="Times New Roman" w:cs="Times New Roman"/>
            <w:noProof/>
            <w:sz w:val="24"/>
            <w:szCs w:val="24"/>
            <w:lang w:val="en-GB" w:bidi="en-GB"/>
          </w:rPr>
          <w:fldChar w:fldCharType="end"/>
        </w:r>
      </w:p>
    </w:sdtContent>
  </w:sdt>
  <w:p w14:paraId="72847C84" w14:textId="77777777" w:rsidR="00B33E90" w:rsidRDefault="00B33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0F36" w14:textId="77777777" w:rsidR="00B33E90" w:rsidRDefault="00B33E90" w:rsidP="00626CC1">
    <w:pPr>
      <w:pStyle w:val="Header"/>
      <w:tabs>
        <w:tab w:val="clear" w:pos="4677"/>
        <w:tab w:val="clear" w:pos="9355"/>
        <w:tab w:val="right" w:pos="9639"/>
      </w:tabs>
      <w:jc w:val="center"/>
    </w:pPr>
    <w:r>
      <w:rPr>
        <w:noProof/>
        <w:lang w:val="en-GB" w:bidi="en-GB"/>
      </w:rPr>
      <w:drawing>
        <wp:inline distT="0" distB="0" distL="0" distR="0" wp14:anchorId="55FF53A2" wp14:editId="3F384152">
          <wp:extent cx="5768047" cy="1783084"/>
          <wp:effectExtent l="0" t="0" r="4445" b="762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14:paraId="59BA6D4C" w14:textId="77777777" w:rsidR="00B33E90" w:rsidRDefault="00B33E90" w:rsidP="00626CC1">
    <w:pPr>
      <w:pStyle w:val="Header"/>
      <w:tabs>
        <w:tab w:val="clear" w:pos="9355"/>
        <w:tab w:val="right" w:pos="9639"/>
      </w:tabs>
      <w:jc w:val="center"/>
    </w:pPr>
  </w:p>
  <w:p w14:paraId="5FFFDEEA" w14:textId="77777777" w:rsidR="00B33E90" w:rsidRDefault="00B33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D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46903"/>
    <w:multiLevelType w:val="hybridMultilevel"/>
    <w:tmpl w:val="17FC8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B849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B0320"/>
    <w:multiLevelType w:val="hybridMultilevel"/>
    <w:tmpl w:val="EA542E72"/>
    <w:lvl w:ilvl="0" w:tplc="F13C4C4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40EED"/>
    <w:multiLevelType w:val="hybridMultilevel"/>
    <w:tmpl w:val="56CC3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3E5BFE"/>
    <w:multiLevelType w:val="hybridMultilevel"/>
    <w:tmpl w:val="7AD6E474"/>
    <w:lvl w:ilvl="0" w:tplc="FD60E4DC">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43721E0E"/>
    <w:multiLevelType w:val="hybridMultilevel"/>
    <w:tmpl w:val="AF468216"/>
    <w:lvl w:ilvl="0" w:tplc="03CA98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630530"/>
    <w:multiLevelType w:val="hybridMultilevel"/>
    <w:tmpl w:val="25268544"/>
    <w:lvl w:ilvl="0" w:tplc="47D662A0">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427BD2"/>
    <w:multiLevelType w:val="multilevel"/>
    <w:tmpl w:val="C4C08E82"/>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1.%2."/>
      <w:lvlJc w:val="left"/>
      <w:pPr>
        <w:ind w:left="1425" w:hanging="432"/>
      </w:p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6A68F3"/>
    <w:multiLevelType w:val="hybridMultilevel"/>
    <w:tmpl w:val="38C43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875B27"/>
    <w:multiLevelType w:val="hybridMultilevel"/>
    <w:tmpl w:val="A89E2C4E"/>
    <w:lvl w:ilvl="0" w:tplc="433EF54A">
      <w:start w:val="1"/>
      <w:numFmt w:val="decimal"/>
      <w:lvlText w:val="%1."/>
      <w:lvlJc w:val="left"/>
      <w:pPr>
        <w:ind w:left="870" w:hanging="570"/>
      </w:pPr>
      <w:rPr>
        <w:rFonts w:eastAsia="Times New Roman"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2C75ABC"/>
    <w:multiLevelType w:val="hybridMultilevel"/>
    <w:tmpl w:val="990CD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5203F4"/>
    <w:multiLevelType w:val="hybridMultilevel"/>
    <w:tmpl w:val="9830D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5C2487"/>
    <w:multiLevelType w:val="hybridMultilevel"/>
    <w:tmpl w:val="13889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B31E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962D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5C74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9A54E6"/>
    <w:multiLevelType w:val="hybridMultilevel"/>
    <w:tmpl w:val="37C86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7"/>
  </w:num>
  <w:num w:numId="5">
    <w:abstractNumId w:val="4"/>
  </w:num>
  <w:num w:numId="6">
    <w:abstractNumId w:val="11"/>
  </w:num>
  <w:num w:numId="7">
    <w:abstractNumId w:val="7"/>
  </w:num>
  <w:num w:numId="8">
    <w:abstractNumId w:val="5"/>
  </w:num>
  <w:num w:numId="9">
    <w:abstractNumId w:val="15"/>
  </w:num>
  <w:num w:numId="10">
    <w:abstractNumId w:val="10"/>
  </w:num>
  <w:num w:numId="11">
    <w:abstractNumId w:val="16"/>
  </w:num>
  <w:num w:numId="12">
    <w:abstractNumId w:val="2"/>
  </w:num>
  <w:num w:numId="13">
    <w:abstractNumId w:val="0"/>
  </w:num>
  <w:num w:numId="14">
    <w:abstractNumId w:val="13"/>
  </w:num>
  <w:num w:numId="15">
    <w:abstractNumId w:val="12"/>
  </w:num>
  <w:num w:numId="16">
    <w:abstractNumId w:val="1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7D"/>
    <w:rsid w:val="00005464"/>
    <w:rsid w:val="000116BB"/>
    <w:rsid w:val="00014547"/>
    <w:rsid w:val="00021FD9"/>
    <w:rsid w:val="00022056"/>
    <w:rsid w:val="0002234B"/>
    <w:rsid w:val="00023C24"/>
    <w:rsid w:val="00027CF8"/>
    <w:rsid w:val="000319C9"/>
    <w:rsid w:val="00032BE9"/>
    <w:rsid w:val="00035D4C"/>
    <w:rsid w:val="0003728E"/>
    <w:rsid w:val="00040EF8"/>
    <w:rsid w:val="00052184"/>
    <w:rsid w:val="000546F9"/>
    <w:rsid w:val="00065103"/>
    <w:rsid w:val="000673DF"/>
    <w:rsid w:val="00074232"/>
    <w:rsid w:val="00074676"/>
    <w:rsid w:val="000815F4"/>
    <w:rsid w:val="000924E4"/>
    <w:rsid w:val="0009517A"/>
    <w:rsid w:val="00096C94"/>
    <w:rsid w:val="000A424C"/>
    <w:rsid w:val="000A4B36"/>
    <w:rsid w:val="000B2519"/>
    <w:rsid w:val="000B5C43"/>
    <w:rsid w:val="000C1823"/>
    <w:rsid w:val="000C55A4"/>
    <w:rsid w:val="000D39FD"/>
    <w:rsid w:val="000D510C"/>
    <w:rsid w:val="000E10A8"/>
    <w:rsid w:val="000E5708"/>
    <w:rsid w:val="000F4E00"/>
    <w:rsid w:val="000F52A4"/>
    <w:rsid w:val="001001B3"/>
    <w:rsid w:val="0010350B"/>
    <w:rsid w:val="00103AFF"/>
    <w:rsid w:val="00110E40"/>
    <w:rsid w:val="00111408"/>
    <w:rsid w:val="00111CD9"/>
    <w:rsid w:val="00116470"/>
    <w:rsid w:val="001216AB"/>
    <w:rsid w:val="00122E2D"/>
    <w:rsid w:val="00123CDC"/>
    <w:rsid w:val="00132525"/>
    <w:rsid w:val="00133FA5"/>
    <w:rsid w:val="00143F52"/>
    <w:rsid w:val="00145972"/>
    <w:rsid w:val="00151BCD"/>
    <w:rsid w:val="00154A09"/>
    <w:rsid w:val="00157BF5"/>
    <w:rsid w:val="001633CE"/>
    <w:rsid w:val="00163530"/>
    <w:rsid w:val="00165271"/>
    <w:rsid w:val="00166EE5"/>
    <w:rsid w:val="001674A0"/>
    <w:rsid w:val="001677BB"/>
    <w:rsid w:val="00173348"/>
    <w:rsid w:val="001772B7"/>
    <w:rsid w:val="00180547"/>
    <w:rsid w:val="00182F8D"/>
    <w:rsid w:val="00186DA6"/>
    <w:rsid w:val="001874EC"/>
    <w:rsid w:val="00187B4D"/>
    <w:rsid w:val="00190E11"/>
    <w:rsid w:val="001951FD"/>
    <w:rsid w:val="001A298E"/>
    <w:rsid w:val="001A5C77"/>
    <w:rsid w:val="001B106C"/>
    <w:rsid w:val="001B6F22"/>
    <w:rsid w:val="001C5F36"/>
    <w:rsid w:val="001C60F2"/>
    <w:rsid w:val="001D0534"/>
    <w:rsid w:val="001D2D1D"/>
    <w:rsid w:val="001D6EBA"/>
    <w:rsid w:val="001E1338"/>
    <w:rsid w:val="001E3C72"/>
    <w:rsid w:val="00203B15"/>
    <w:rsid w:val="00206556"/>
    <w:rsid w:val="00211EB5"/>
    <w:rsid w:val="00212866"/>
    <w:rsid w:val="002134A7"/>
    <w:rsid w:val="00215153"/>
    <w:rsid w:val="0022112F"/>
    <w:rsid w:val="00222BB1"/>
    <w:rsid w:val="00223BBB"/>
    <w:rsid w:val="00232FEF"/>
    <w:rsid w:val="0023306D"/>
    <w:rsid w:val="00236278"/>
    <w:rsid w:val="00237120"/>
    <w:rsid w:val="0023731E"/>
    <w:rsid w:val="002421B1"/>
    <w:rsid w:val="00242A13"/>
    <w:rsid w:val="002433DC"/>
    <w:rsid w:val="00244B50"/>
    <w:rsid w:val="00245BCE"/>
    <w:rsid w:val="00253C72"/>
    <w:rsid w:val="002559A6"/>
    <w:rsid w:val="00256975"/>
    <w:rsid w:val="00261652"/>
    <w:rsid w:val="00261CF7"/>
    <w:rsid w:val="00265D4C"/>
    <w:rsid w:val="002A0A7A"/>
    <w:rsid w:val="002A2F15"/>
    <w:rsid w:val="002A5F43"/>
    <w:rsid w:val="002A67A0"/>
    <w:rsid w:val="002B0410"/>
    <w:rsid w:val="002B1434"/>
    <w:rsid w:val="002B6C98"/>
    <w:rsid w:val="002C1307"/>
    <w:rsid w:val="002C1801"/>
    <w:rsid w:val="002C41FE"/>
    <w:rsid w:val="002C7572"/>
    <w:rsid w:val="002D172D"/>
    <w:rsid w:val="002D5B11"/>
    <w:rsid w:val="002D705E"/>
    <w:rsid w:val="002E3158"/>
    <w:rsid w:val="002F0CBB"/>
    <w:rsid w:val="002F5798"/>
    <w:rsid w:val="00300D49"/>
    <w:rsid w:val="003118C7"/>
    <w:rsid w:val="00313463"/>
    <w:rsid w:val="00317737"/>
    <w:rsid w:val="00317EC5"/>
    <w:rsid w:val="00324F94"/>
    <w:rsid w:val="00326D48"/>
    <w:rsid w:val="00327429"/>
    <w:rsid w:val="00330007"/>
    <w:rsid w:val="00331813"/>
    <w:rsid w:val="003319DC"/>
    <w:rsid w:val="003331A5"/>
    <w:rsid w:val="00334870"/>
    <w:rsid w:val="00342830"/>
    <w:rsid w:val="00343653"/>
    <w:rsid w:val="003452DE"/>
    <w:rsid w:val="00355153"/>
    <w:rsid w:val="003565E5"/>
    <w:rsid w:val="00360EB1"/>
    <w:rsid w:val="00361C5D"/>
    <w:rsid w:val="00362C77"/>
    <w:rsid w:val="00376609"/>
    <w:rsid w:val="00377D5B"/>
    <w:rsid w:val="003809EE"/>
    <w:rsid w:val="00391481"/>
    <w:rsid w:val="00391B1A"/>
    <w:rsid w:val="003A4721"/>
    <w:rsid w:val="003B105A"/>
    <w:rsid w:val="003B32D4"/>
    <w:rsid w:val="003B50F7"/>
    <w:rsid w:val="003C378E"/>
    <w:rsid w:val="003C6D86"/>
    <w:rsid w:val="003D04CD"/>
    <w:rsid w:val="003D2BB7"/>
    <w:rsid w:val="003D425A"/>
    <w:rsid w:val="003D7F49"/>
    <w:rsid w:val="003E40B0"/>
    <w:rsid w:val="003E7174"/>
    <w:rsid w:val="003F2FE8"/>
    <w:rsid w:val="003F323D"/>
    <w:rsid w:val="003F60AD"/>
    <w:rsid w:val="003F66E0"/>
    <w:rsid w:val="00403B06"/>
    <w:rsid w:val="00405127"/>
    <w:rsid w:val="0040567F"/>
    <w:rsid w:val="0040674B"/>
    <w:rsid w:val="00406EF5"/>
    <w:rsid w:val="004076BC"/>
    <w:rsid w:val="00411379"/>
    <w:rsid w:val="00417FD2"/>
    <w:rsid w:val="004230C5"/>
    <w:rsid w:val="00423233"/>
    <w:rsid w:val="00430CC4"/>
    <w:rsid w:val="00433AAA"/>
    <w:rsid w:val="00435FF7"/>
    <w:rsid w:val="004427A0"/>
    <w:rsid w:val="0044396D"/>
    <w:rsid w:val="00446EEE"/>
    <w:rsid w:val="0046494C"/>
    <w:rsid w:val="00465E3A"/>
    <w:rsid w:val="00467C1E"/>
    <w:rsid w:val="0047029A"/>
    <w:rsid w:val="00474FA3"/>
    <w:rsid w:val="00481E03"/>
    <w:rsid w:val="00484DB5"/>
    <w:rsid w:val="00493D6A"/>
    <w:rsid w:val="004A0A05"/>
    <w:rsid w:val="004A1989"/>
    <w:rsid w:val="004A251B"/>
    <w:rsid w:val="004A318B"/>
    <w:rsid w:val="004B3202"/>
    <w:rsid w:val="004B47CC"/>
    <w:rsid w:val="004C0DF5"/>
    <w:rsid w:val="004C121A"/>
    <w:rsid w:val="004C4028"/>
    <w:rsid w:val="004C78C8"/>
    <w:rsid w:val="004D22C8"/>
    <w:rsid w:val="004E2F3F"/>
    <w:rsid w:val="004E659E"/>
    <w:rsid w:val="004F34D5"/>
    <w:rsid w:val="004F63B6"/>
    <w:rsid w:val="004F72F4"/>
    <w:rsid w:val="0050457B"/>
    <w:rsid w:val="00516593"/>
    <w:rsid w:val="00516775"/>
    <w:rsid w:val="0053111F"/>
    <w:rsid w:val="00540368"/>
    <w:rsid w:val="00545D3F"/>
    <w:rsid w:val="0056088D"/>
    <w:rsid w:val="00570CFE"/>
    <w:rsid w:val="00572A44"/>
    <w:rsid w:val="00573EAA"/>
    <w:rsid w:val="00575E7D"/>
    <w:rsid w:val="00591D31"/>
    <w:rsid w:val="00595EB9"/>
    <w:rsid w:val="00597722"/>
    <w:rsid w:val="005A4182"/>
    <w:rsid w:val="005A41DA"/>
    <w:rsid w:val="005A6A73"/>
    <w:rsid w:val="005A7EE5"/>
    <w:rsid w:val="005B5126"/>
    <w:rsid w:val="005B629B"/>
    <w:rsid w:val="005C6511"/>
    <w:rsid w:val="005D3F8C"/>
    <w:rsid w:val="005D469C"/>
    <w:rsid w:val="005D5284"/>
    <w:rsid w:val="005F12DE"/>
    <w:rsid w:val="00602AAE"/>
    <w:rsid w:val="0061004A"/>
    <w:rsid w:val="006131C9"/>
    <w:rsid w:val="006133C9"/>
    <w:rsid w:val="00616A85"/>
    <w:rsid w:val="00621710"/>
    <w:rsid w:val="00623BCF"/>
    <w:rsid w:val="00624F1F"/>
    <w:rsid w:val="00626CC1"/>
    <w:rsid w:val="00627D7B"/>
    <w:rsid w:val="00631074"/>
    <w:rsid w:val="00633BF4"/>
    <w:rsid w:val="006347FA"/>
    <w:rsid w:val="0064181A"/>
    <w:rsid w:val="0064586B"/>
    <w:rsid w:val="00651024"/>
    <w:rsid w:val="00652D42"/>
    <w:rsid w:val="00660649"/>
    <w:rsid w:val="0066388B"/>
    <w:rsid w:val="00664A67"/>
    <w:rsid w:val="00666C58"/>
    <w:rsid w:val="00680904"/>
    <w:rsid w:val="0068119A"/>
    <w:rsid w:val="006A4A31"/>
    <w:rsid w:val="006A54E9"/>
    <w:rsid w:val="006B131C"/>
    <w:rsid w:val="006B218D"/>
    <w:rsid w:val="006B6B06"/>
    <w:rsid w:val="006D15DD"/>
    <w:rsid w:val="006D3563"/>
    <w:rsid w:val="006D3AA5"/>
    <w:rsid w:val="006D588E"/>
    <w:rsid w:val="006D5A2F"/>
    <w:rsid w:val="006F427F"/>
    <w:rsid w:val="006F4ECD"/>
    <w:rsid w:val="00701D30"/>
    <w:rsid w:val="007033EB"/>
    <w:rsid w:val="007058E9"/>
    <w:rsid w:val="0071463F"/>
    <w:rsid w:val="00723D30"/>
    <w:rsid w:val="00725A70"/>
    <w:rsid w:val="00736F9D"/>
    <w:rsid w:val="00740A96"/>
    <w:rsid w:val="00741E41"/>
    <w:rsid w:val="00743BD5"/>
    <w:rsid w:val="00743CB5"/>
    <w:rsid w:val="00744871"/>
    <w:rsid w:val="00752769"/>
    <w:rsid w:val="00756048"/>
    <w:rsid w:val="00757610"/>
    <w:rsid w:val="00757C21"/>
    <w:rsid w:val="00760279"/>
    <w:rsid w:val="00767381"/>
    <w:rsid w:val="00770572"/>
    <w:rsid w:val="00771C48"/>
    <w:rsid w:val="007803A4"/>
    <w:rsid w:val="0078786F"/>
    <w:rsid w:val="00796A98"/>
    <w:rsid w:val="007A0F60"/>
    <w:rsid w:val="007A279A"/>
    <w:rsid w:val="007A462E"/>
    <w:rsid w:val="007B05CA"/>
    <w:rsid w:val="007B34D8"/>
    <w:rsid w:val="007C6CD7"/>
    <w:rsid w:val="007D1CBB"/>
    <w:rsid w:val="007D1FA5"/>
    <w:rsid w:val="007D6952"/>
    <w:rsid w:val="007E4CC9"/>
    <w:rsid w:val="007F0745"/>
    <w:rsid w:val="007F14AD"/>
    <w:rsid w:val="007F2ACE"/>
    <w:rsid w:val="00800E79"/>
    <w:rsid w:val="00810532"/>
    <w:rsid w:val="00817E4A"/>
    <w:rsid w:val="00822445"/>
    <w:rsid w:val="00832580"/>
    <w:rsid w:val="008358DA"/>
    <w:rsid w:val="008425C1"/>
    <w:rsid w:val="00843FCB"/>
    <w:rsid w:val="00851C4E"/>
    <w:rsid w:val="00852315"/>
    <w:rsid w:val="00860B12"/>
    <w:rsid w:val="00861EF6"/>
    <w:rsid w:val="00864B6D"/>
    <w:rsid w:val="008667E7"/>
    <w:rsid w:val="00866BB2"/>
    <w:rsid w:val="00883ECD"/>
    <w:rsid w:val="00890124"/>
    <w:rsid w:val="008944CA"/>
    <w:rsid w:val="00895A6D"/>
    <w:rsid w:val="008A2C9C"/>
    <w:rsid w:val="008A563C"/>
    <w:rsid w:val="008A5B1E"/>
    <w:rsid w:val="008A665E"/>
    <w:rsid w:val="008B20B1"/>
    <w:rsid w:val="008B2E2A"/>
    <w:rsid w:val="008B399F"/>
    <w:rsid w:val="008C0E01"/>
    <w:rsid w:val="008C2AA2"/>
    <w:rsid w:val="008C6E3B"/>
    <w:rsid w:val="008D7B2C"/>
    <w:rsid w:val="008E4AF1"/>
    <w:rsid w:val="008E5D04"/>
    <w:rsid w:val="008F06BC"/>
    <w:rsid w:val="008F2056"/>
    <w:rsid w:val="00900258"/>
    <w:rsid w:val="009015BC"/>
    <w:rsid w:val="00903539"/>
    <w:rsid w:val="00915520"/>
    <w:rsid w:val="009174C7"/>
    <w:rsid w:val="00922F37"/>
    <w:rsid w:val="0093464E"/>
    <w:rsid w:val="009423E9"/>
    <w:rsid w:val="009431B5"/>
    <w:rsid w:val="0094406F"/>
    <w:rsid w:val="00946734"/>
    <w:rsid w:val="0095646A"/>
    <w:rsid w:val="009601CD"/>
    <w:rsid w:val="00963ADE"/>
    <w:rsid w:val="009668CD"/>
    <w:rsid w:val="00970313"/>
    <w:rsid w:val="00971FF7"/>
    <w:rsid w:val="00972114"/>
    <w:rsid w:val="00974F56"/>
    <w:rsid w:val="009764A8"/>
    <w:rsid w:val="0098098A"/>
    <w:rsid w:val="009875EF"/>
    <w:rsid w:val="009911FF"/>
    <w:rsid w:val="0099469C"/>
    <w:rsid w:val="009A0970"/>
    <w:rsid w:val="009A1C88"/>
    <w:rsid w:val="009A3676"/>
    <w:rsid w:val="009B0FBB"/>
    <w:rsid w:val="009D044B"/>
    <w:rsid w:val="009D4470"/>
    <w:rsid w:val="009D543D"/>
    <w:rsid w:val="009D7AB3"/>
    <w:rsid w:val="009E3E56"/>
    <w:rsid w:val="009F63B4"/>
    <w:rsid w:val="009F6E90"/>
    <w:rsid w:val="00A05535"/>
    <w:rsid w:val="00A1119C"/>
    <w:rsid w:val="00A127C0"/>
    <w:rsid w:val="00A13456"/>
    <w:rsid w:val="00A15CA6"/>
    <w:rsid w:val="00A16282"/>
    <w:rsid w:val="00A16E03"/>
    <w:rsid w:val="00A31933"/>
    <w:rsid w:val="00A3541C"/>
    <w:rsid w:val="00A56D2D"/>
    <w:rsid w:val="00A628A4"/>
    <w:rsid w:val="00A63B5C"/>
    <w:rsid w:val="00A64B1A"/>
    <w:rsid w:val="00A64FA4"/>
    <w:rsid w:val="00A72136"/>
    <w:rsid w:val="00A72B49"/>
    <w:rsid w:val="00A83EF4"/>
    <w:rsid w:val="00A84299"/>
    <w:rsid w:val="00A868F2"/>
    <w:rsid w:val="00AA2A43"/>
    <w:rsid w:val="00AA3467"/>
    <w:rsid w:val="00AB24A7"/>
    <w:rsid w:val="00AB39A1"/>
    <w:rsid w:val="00AB755D"/>
    <w:rsid w:val="00AC50AB"/>
    <w:rsid w:val="00AD2CB9"/>
    <w:rsid w:val="00AD7B55"/>
    <w:rsid w:val="00AE55F4"/>
    <w:rsid w:val="00AF33EC"/>
    <w:rsid w:val="00AF6F3B"/>
    <w:rsid w:val="00AF74BD"/>
    <w:rsid w:val="00B01C1D"/>
    <w:rsid w:val="00B0349C"/>
    <w:rsid w:val="00B11F72"/>
    <w:rsid w:val="00B1306B"/>
    <w:rsid w:val="00B15DFC"/>
    <w:rsid w:val="00B2228D"/>
    <w:rsid w:val="00B32B7D"/>
    <w:rsid w:val="00B33E90"/>
    <w:rsid w:val="00B467A4"/>
    <w:rsid w:val="00B50C89"/>
    <w:rsid w:val="00B5312A"/>
    <w:rsid w:val="00B53B5A"/>
    <w:rsid w:val="00B54568"/>
    <w:rsid w:val="00B606C5"/>
    <w:rsid w:val="00B62B5B"/>
    <w:rsid w:val="00B63D5B"/>
    <w:rsid w:val="00B765CF"/>
    <w:rsid w:val="00B77B82"/>
    <w:rsid w:val="00B805A6"/>
    <w:rsid w:val="00B8298A"/>
    <w:rsid w:val="00B8428B"/>
    <w:rsid w:val="00B85C96"/>
    <w:rsid w:val="00B90AEC"/>
    <w:rsid w:val="00B93DBA"/>
    <w:rsid w:val="00BA1273"/>
    <w:rsid w:val="00BA6DC6"/>
    <w:rsid w:val="00BC4197"/>
    <w:rsid w:val="00BC4222"/>
    <w:rsid w:val="00BC4F60"/>
    <w:rsid w:val="00BD1EC4"/>
    <w:rsid w:val="00BD2DA0"/>
    <w:rsid w:val="00BE0F5F"/>
    <w:rsid w:val="00BE1162"/>
    <w:rsid w:val="00BE4459"/>
    <w:rsid w:val="00BE5A8D"/>
    <w:rsid w:val="00BF30A0"/>
    <w:rsid w:val="00BF542B"/>
    <w:rsid w:val="00BF6D2D"/>
    <w:rsid w:val="00BF7E32"/>
    <w:rsid w:val="00BF7F1A"/>
    <w:rsid w:val="00C022BD"/>
    <w:rsid w:val="00C103DB"/>
    <w:rsid w:val="00C10893"/>
    <w:rsid w:val="00C11C83"/>
    <w:rsid w:val="00C172C1"/>
    <w:rsid w:val="00C307C9"/>
    <w:rsid w:val="00C3630D"/>
    <w:rsid w:val="00C36C94"/>
    <w:rsid w:val="00C46138"/>
    <w:rsid w:val="00C462AD"/>
    <w:rsid w:val="00C5385C"/>
    <w:rsid w:val="00C6191E"/>
    <w:rsid w:val="00C62275"/>
    <w:rsid w:val="00C67820"/>
    <w:rsid w:val="00C73A53"/>
    <w:rsid w:val="00C80464"/>
    <w:rsid w:val="00C86450"/>
    <w:rsid w:val="00C873EE"/>
    <w:rsid w:val="00C909C9"/>
    <w:rsid w:val="00C921BF"/>
    <w:rsid w:val="00C96761"/>
    <w:rsid w:val="00CA0990"/>
    <w:rsid w:val="00CA27F4"/>
    <w:rsid w:val="00CA3B28"/>
    <w:rsid w:val="00CA514E"/>
    <w:rsid w:val="00CB3670"/>
    <w:rsid w:val="00CC05B5"/>
    <w:rsid w:val="00CC3C6C"/>
    <w:rsid w:val="00CD06EB"/>
    <w:rsid w:val="00CD36B9"/>
    <w:rsid w:val="00CD7ABD"/>
    <w:rsid w:val="00CE1689"/>
    <w:rsid w:val="00CF6188"/>
    <w:rsid w:val="00D02718"/>
    <w:rsid w:val="00D15C83"/>
    <w:rsid w:val="00D15FA3"/>
    <w:rsid w:val="00D26310"/>
    <w:rsid w:val="00D265E3"/>
    <w:rsid w:val="00D27E8E"/>
    <w:rsid w:val="00D3423D"/>
    <w:rsid w:val="00D41557"/>
    <w:rsid w:val="00D44923"/>
    <w:rsid w:val="00D51309"/>
    <w:rsid w:val="00D517A2"/>
    <w:rsid w:val="00D57AA9"/>
    <w:rsid w:val="00D9242A"/>
    <w:rsid w:val="00D96DEA"/>
    <w:rsid w:val="00D97C79"/>
    <w:rsid w:val="00DA7021"/>
    <w:rsid w:val="00DA7CC6"/>
    <w:rsid w:val="00DB0EB0"/>
    <w:rsid w:val="00DB1D22"/>
    <w:rsid w:val="00DB280A"/>
    <w:rsid w:val="00DB576E"/>
    <w:rsid w:val="00DB6476"/>
    <w:rsid w:val="00DC0314"/>
    <w:rsid w:val="00DC1C48"/>
    <w:rsid w:val="00DC2807"/>
    <w:rsid w:val="00DC6C27"/>
    <w:rsid w:val="00DD163E"/>
    <w:rsid w:val="00DE4678"/>
    <w:rsid w:val="00DE5284"/>
    <w:rsid w:val="00DF3FF3"/>
    <w:rsid w:val="00DF471C"/>
    <w:rsid w:val="00E00CD9"/>
    <w:rsid w:val="00E12664"/>
    <w:rsid w:val="00E210F6"/>
    <w:rsid w:val="00E2278C"/>
    <w:rsid w:val="00E262DE"/>
    <w:rsid w:val="00E303E3"/>
    <w:rsid w:val="00E33296"/>
    <w:rsid w:val="00E34F3B"/>
    <w:rsid w:val="00E365BF"/>
    <w:rsid w:val="00E45B3C"/>
    <w:rsid w:val="00E45F6E"/>
    <w:rsid w:val="00E46513"/>
    <w:rsid w:val="00E507C8"/>
    <w:rsid w:val="00E51065"/>
    <w:rsid w:val="00E54005"/>
    <w:rsid w:val="00E57F04"/>
    <w:rsid w:val="00E62B3F"/>
    <w:rsid w:val="00E71D38"/>
    <w:rsid w:val="00E74DC4"/>
    <w:rsid w:val="00E818D7"/>
    <w:rsid w:val="00E87651"/>
    <w:rsid w:val="00E900E6"/>
    <w:rsid w:val="00E90A29"/>
    <w:rsid w:val="00E94292"/>
    <w:rsid w:val="00E96D8D"/>
    <w:rsid w:val="00EA2668"/>
    <w:rsid w:val="00EA4AF0"/>
    <w:rsid w:val="00EC32AC"/>
    <w:rsid w:val="00EC5CDC"/>
    <w:rsid w:val="00ED0468"/>
    <w:rsid w:val="00ED0E06"/>
    <w:rsid w:val="00ED1F49"/>
    <w:rsid w:val="00ED39BB"/>
    <w:rsid w:val="00ED3B01"/>
    <w:rsid w:val="00ED4719"/>
    <w:rsid w:val="00EE2A19"/>
    <w:rsid w:val="00EE7125"/>
    <w:rsid w:val="00EF02AA"/>
    <w:rsid w:val="00F009AF"/>
    <w:rsid w:val="00F07EFC"/>
    <w:rsid w:val="00F11D78"/>
    <w:rsid w:val="00F13C6E"/>
    <w:rsid w:val="00F21EF3"/>
    <w:rsid w:val="00F26FDB"/>
    <w:rsid w:val="00F32628"/>
    <w:rsid w:val="00F342B5"/>
    <w:rsid w:val="00F3706E"/>
    <w:rsid w:val="00F414E7"/>
    <w:rsid w:val="00F4293D"/>
    <w:rsid w:val="00F43ED9"/>
    <w:rsid w:val="00F45656"/>
    <w:rsid w:val="00F519C2"/>
    <w:rsid w:val="00F55988"/>
    <w:rsid w:val="00F572FF"/>
    <w:rsid w:val="00F608EE"/>
    <w:rsid w:val="00F6219B"/>
    <w:rsid w:val="00F63B1C"/>
    <w:rsid w:val="00F64793"/>
    <w:rsid w:val="00F664AB"/>
    <w:rsid w:val="00F7063B"/>
    <w:rsid w:val="00F9129F"/>
    <w:rsid w:val="00F95832"/>
    <w:rsid w:val="00F96405"/>
    <w:rsid w:val="00FA3306"/>
    <w:rsid w:val="00FB114D"/>
    <w:rsid w:val="00FB182E"/>
    <w:rsid w:val="00FB1903"/>
    <w:rsid w:val="00FB5B7C"/>
    <w:rsid w:val="00FC2FFA"/>
    <w:rsid w:val="00FC522D"/>
    <w:rsid w:val="00FC7920"/>
    <w:rsid w:val="00FD0790"/>
    <w:rsid w:val="00FD2DDE"/>
    <w:rsid w:val="00FD356D"/>
    <w:rsid w:val="00FD7128"/>
    <w:rsid w:val="00FD72CB"/>
    <w:rsid w:val="00FF4762"/>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5B24"/>
  <w15:docId w15:val="{C63741B2-821B-48D4-84D9-1481794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27CF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autoRedefine/>
    <w:qFormat/>
    <w:rsid w:val="004A0A05"/>
    <w:pPr>
      <w:keepLines/>
      <w:spacing w:after="0" w:line="240" w:lineRule="auto"/>
      <w:jc w:val="right"/>
      <w:outlineLvl w:val="3"/>
    </w:pPr>
    <w:rPr>
      <w:rFonts w:ascii="Times New Roman" w:eastAsia="Times New Roman" w:hAnsi="Times New Roman" w:cs="Times New Roman"/>
      <w:bCs/>
      <w:noProo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5E7D"/>
  </w:style>
  <w:style w:type="paragraph" w:styleId="Footer">
    <w:name w:val="footer"/>
    <w:basedOn w:val="Normal"/>
    <w:link w:val="FooterChar"/>
    <w:uiPriority w:val="99"/>
    <w:unhideWhenUsed/>
    <w:rsid w:val="00575E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5E7D"/>
  </w:style>
  <w:style w:type="paragraph" w:styleId="BalloonText">
    <w:name w:val="Balloon Text"/>
    <w:basedOn w:val="Normal"/>
    <w:link w:val="BalloonTextChar"/>
    <w:uiPriority w:val="99"/>
    <w:semiHidden/>
    <w:unhideWhenUsed/>
    <w:rsid w:val="00DF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F3"/>
    <w:rPr>
      <w:rFonts w:ascii="Tahoma" w:hAnsi="Tahoma" w:cs="Tahoma"/>
      <w:sz w:val="16"/>
      <w:szCs w:val="16"/>
    </w:rPr>
  </w:style>
  <w:style w:type="character" w:customStyle="1" w:styleId="Heading4Char">
    <w:name w:val="Heading 4 Char"/>
    <w:basedOn w:val="DefaultParagraphFont"/>
    <w:link w:val="Heading4"/>
    <w:rsid w:val="004A0A05"/>
    <w:rPr>
      <w:rFonts w:ascii="Times New Roman" w:eastAsia="Times New Roman" w:hAnsi="Times New Roman" w:cs="Times New Roman"/>
      <w:bCs/>
      <w:noProof/>
      <w:szCs w:val="20"/>
      <w:lang w:val="lv-LV"/>
    </w:rPr>
  </w:style>
  <w:style w:type="paragraph" w:customStyle="1" w:styleId="Teksts1">
    <w:name w:val="Teksts1"/>
    <w:basedOn w:val="Normal"/>
    <w:rsid w:val="001E1338"/>
    <w:pPr>
      <w:spacing w:after="320" w:line="240" w:lineRule="auto"/>
      <w:jc w:val="both"/>
    </w:pPr>
    <w:rPr>
      <w:rFonts w:ascii="Times New Roman" w:eastAsia="Times New Roman" w:hAnsi="Times New Roman" w:cs="Times New Roman"/>
      <w:sz w:val="24"/>
      <w:szCs w:val="20"/>
      <w:lang w:val="lv-LV"/>
    </w:rPr>
  </w:style>
  <w:style w:type="paragraph" w:customStyle="1" w:styleId="Teksts2">
    <w:name w:val="Teksts2"/>
    <w:basedOn w:val="Normal"/>
    <w:rsid w:val="001E1338"/>
    <w:pPr>
      <w:spacing w:after="0" w:line="240" w:lineRule="auto"/>
      <w:jc w:val="both"/>
    </w:pPr>
    <w:rPr>
      <w:rFonts w:ascii="Times New Roman" w:eastAsia="Times New Roman" w:hAnsi="Times New Roman" w:cs="Times New Roman"/>
      <w:sz w:val="24"/>
      <w:szCs w:val="20"/>
      <w:lang w:val="lv-LV"/>
    </w:rPr>
  </w:style>
  <w:style w:type="paragraph" w:customStyle="1" w:styleId="Datums">
    <w:name w:val="Datums"/>
    <w:basedOn w:val="Normal"/>
    <w:next w:val="Normal"/>
    <w:rsid w:val="001E1338"/>
    <w:pPr>
      <w:spacing w:before="1700" w:after="0" w:line="240" w:lineRule="auto"/>
    </w:pPr>
    <w:rPr>
      <w:rFonts w:ascii="Times New Roman" w:eastAsia="Times New Roman" w:hAnsi="Times New Roman" w:cs="Times New Roman"/>
      <w:sz w:val="24"/>
      <w:szCs w:val="20"/>
    </w:rPr>
  </w:style>
  <w:style w:type="paragraph" w:customStyle="1" w:styleId="Adrese">
    <w:name w:val="Adrese"/>
    <w:basedOn w:val="Normal"/>
    <w:rsid w:val="001E1338"/>
    <w:pPr>
      <w:spacing w:after="0" w:line="240" w:lineRule="auto"/>
    </w:pPr>
    <w:rPr>
      <w:rFonts w:ascii="Times New Roman" w:eastAsia="Times New Roman" w:hAnsi="Times New Roman" w:cs="Times New Roman"/>
      <w:sz w:val="24"/>
      <w:szCs w:val="20"/>
    </w:rPr>
  </w:style>
  <w:style w:type="paragraph" w:customStyle="1" w:styleId="Uzruna">
    <w:name w:val="Uzruna"/>
    <w:basedOn w:val="Normal"/>
    <w:next w:val="Teksts1"/>
    <w:rsid w:val="001E1338"/>
    <w:pPr>
      <w:spacing w:before="320" w:after="320" w:line="240" w:lineRule="auto"/>
    </w:pPr>
    <w:rPr>
      <w:rFonts w:ascii="Times New Roman" w:eastAsia="Times New Roman" w:hAnsi="Times New Roman" w:cs="Times New Roman"/>
      <w:sz w:val="24"/>
      <w:szCs w:val="20"/>
    </w:rPr>
  </w:style>
  <w:style w:type="paragraph" w:customStyle="1" w:styleId="Nobeigums">
    <w:name w:val="Nobeigums"/>
    <w:basedOn w:val="Normal"/>
    <w:rsid w:val="001E1338"/>
    <w:pPr>
      <w:spacing w:after="0" w:line="240" w:lineRule="auto"/>
    </w:pPr>
    <w:rPr>
      <w:rFonts w:ascii="Times New Roman" w:eastAsia="Times New Roman" w:hAnsi="Times New Roman" w:cs="Times New Roman"/>
      <w:sz w:val="24"/>
      <w:szCs w:val="20"/>
    </w:rPr>
  </w:style>
  <w:style w:type="paragraph" w:customStyle="1" w:styleId="Autors">
    <w:name w:val="Autors"/>
    <w:basedOn w:val="Normal"/>
    <w:next w:val="Normal"/>
    <w:rsid w:val="001E1338"/>
    <w:pPr>
      <w:tabs>
        <w:tab w:val="right" w:pos="9072"/>
      </w:tabs>
      <w:spacing w:before="1440" w:after="0" w:line="240" w:lineRule="auto"/>
    </w:pPr>
    <w:rPr>
      <w:rFonts w:ascii="Times New Roman" w:eastAsia="Times New Roman" w:hAnsi="Times New Roman" w:cs="Times New Roman"/>
      <w:sz w:val="24"/>
      <w:szCs w:val="20"/>
    </w:rPr>
  </w:style>
  <w:style w:type="paragraph" w:customStyle="1" w:styleId="Valsts">
    <w:name w:val="Valsts"/>
    <w:basedOn w:val="Normal"/>
    <w:rsid w:val="001E1338"/>
    <w:pPr>
      <w:spacing w:after="0" w:line="240" w:lineRule="auto"/>
    </w:pPr>
    <w:rPr>
      <w:rFonts w:ascii="Times New Roman" w:eastAsia="Times New Roman" w:hAnsi="Times New Roman" w:cs="Times New Roman"/>
      <w:caps/>
      <w:sz w:val="24"/>
      <w:szCs w:val="20"/>
    </w:rPr>
  </w:style>
  <w:style w:type="paragraph" w:customStyle="1" w:styleId="Registrnum">
    <w:name w:val="Registr. num"/>
    <w:basedOn w:val="Normal"/>
    <w:next w:val="Adrese"/>
    <w:rsid w:val="001E1338"/>
    <w:pPr>
      <w:spacing w:after="320" w:line="240" w:lineRule="auto"/>
    </w:pPr>
    <w:rPr>
      <w:rFonts w:ascii="Times New Roman" w:eastAsia="Times New Roman" w:hAnsi="Times New Roman" w:cs="Times New Roman"/>
      <w:sz w:val="24"/>
      <w:szCs w:val="20"/>
    </w:rPr>
  </w:style>
  <w:style w:type="paragraph" w:customStyle="1" w:styleId="Nosaukums">
    <w:name w:val="Nosaukums"/>
    <w:basedOn w:val="Normal"/>
    <w:next w:val="Normal"/>
    <w:rsid w:val="001E1338"/>
    <w:pPr>
      <w:spacing w:before="640" w:after="0" w:line="240" w:lineRule="auto"/>
      <w:ind w:right="2268"/>
    </w:pPr>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027CF8"/>
    <w:rPr>
      <w:rFonts w:asciiTheme="majorHAnsi" w:eastAsiaTheme="majorEastAsia" w:hAnsiTheme="majorHAnsi" w:cstheme="majorBidi"/>
      <w:b/>
      <w:bCs/>
      <w:color w:val="5B9BD5" w:themeColor="accent1"/>
    </w:rPr>
  </w:style>
  <w:style w:type="character" w:styleId="Strong">
    <w:name w:val="Strong"/>
    <w:basedOn w:val="DefaultParagraphFont"/>
    <w:qFormat/>
    <w:rsid w:val="00027CF8"/>
    <w:rPr>
      <w:b/>
      <w:bCs/>
    </w:rPr>
  </w:style>
  <w:style w:type="paragraph" w:styleId="NormalWeb">
    <w:name w:val="Normal (Web)"/>
    <w:basedOn w:val="Normal"/>
    <w:semiHidden/>
    <w:rsid w:val="00027CF8"/>
    <w:pPr>
      <w:spacing w:before="100" w:beforeAutospacing="1" w:after="100" w:afterAutospacing="1" w:line="240" w:lineRule="auto"/>
    </w:pPr>
    <w:rPr>
      <w:rFonts w:ascii="Arial Unicode MS" w:eastAsia="Arial Unicode MS" w:hAnsi="Arial Unicode MS" w:cs="Times New Roman"/>
      <w:sz w:val="24"/>
      <w:szCs w:val="24"/>
      <w:lang w:val="lv-LV"/>
    </w:rPr>
  </w:style>
  <w:style w:type="paragraph" w:customStyle="1" w:styleId="naisf">
    <w:name w:val="naisf"/>
    <w:basedOn w:val="Normal"/>
    <w:rsid w:val="00027CF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Hyperlink">
    <w:name w:val="Hyperlink"/>
    <w:basedOn w:val="DefaultParagraphFont"/>
    <w:uiPriority w:val="99"/>
    <w:semiHidden/>
    <w:unhideWhenUsed/>
    <w:rsid w:val="00F95832"/>
    <w:rPr>
      <w:color w:val="0000FF"/>
      <w:u w:val="single"/>
    </w:rPr>
  </w:style>
  <w:style w:type="paragraph" w:customStyle="1" w:styleId="Default">
    <w:name w:val="Default"/>
    <w:rsid w:val="00F9583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tv213">
    <w:name w:val="tv213"/>
    <w:basedOn w:val="Normal"/>
    <w:rsid w:val="00F9583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B5312A"/>
    <w:pPr>
      <w:ind w:left="720"/>
      <w:contextualSpacing/>
    </w:pPr>
  </w:style>
  <w:style w:type="character" w:styleId="CommentReference">
    <w:name w:val="annotation reference"/>
    <w:basedOn w:val="DefaultParagraphFont"/>
    <w:uiPriority w:val="99"/>
    <w:semiHidden/>
    <w:unhideWhenUsed/>
    <w:rsid w:val="00FB1903"/>
    <w:rPr>
      <w:sz w:val="16"/>
      <w:szCs w:val="16"/>
    </w:rPr>
  </w:style>
  <w:style w:type="paragraph" w:styleId="CommentText">
    <w:name w:val="annotation text"/>
    <w:basedOn w:val="Normal"/>
    <w:link w:val="CommentTextChar"/>
    <w:uiPriority w:val="99"/>
    <w:unhideWhenUsed/>
    <w:rsid w:val="00FB1903"/>
    <w:pPr>
      <w:spacing w:line="240" w:lineRule="auto"/>
    </w:pPr>
    <w:rPr>
      <w:sz w:val="20"/>
      <w:szCs w:val="20"/>
    </w:rPr>
  </w:style>
  <w:style w:type="character" w:customStyle="1" w:styleId="CommentTextChar">
    <w:name w:val="Comment Text Char"/>
    <w:basedOn w:val="DefaultParagraphFont"/>
    <w:link w:val="CommentText"/>
    <w:uiPriority w:val="99"/>
    <w:rsid w:val="00FB1903"/>
    <w:rPr>
      <w:sz w:val="20"/>
      <w:szCs w:val="20"/>
    </w:rPr>
  </w:style>
  <w:style w:type="paragraph" w:styleId="CommentSubject">
    <w:name w:val="annotation subject"/>
    <w:basedOn w:val="CommentText"/>
    <w:next w:val="CommentText"/>
    <w:link w:val="CommentSubjectChar"/>
    <w:uiPriority w:val="99"/>
    <w:semiHidden/>
    <w:unhideWhenUsed/>
    <w:rsid w:val="00FB1903"/>
    <w:rPr>
      <w:b/>
      <w:bCs/>
    </w:rPr>
  </w:style>
  <w:style w:type="character" w:customStyle="1" w:styleId="CommentSubjectChar">
    <w:name w:val="Comment Subject Char"/>
    <w:basedOn w:val="CommentTextChar"/>
    <w:link w:val="CommentSubject"/>
    <w:uiPriority w:val="99"/>
    <w:semiHidden/>
    <w:rsid w:val="00FB1903"/>
    <w:rPr>
      <w:b/>
      <w:bCs/>
      <w:sz w:val="20"/>
      <w:szCs w:val="20"/>
    </w:rPr>
  </w:style>
  <w:style w:type="paragraph" w:customStyle="1" w:styleId="labojumupamats">
    <w:name w:val="labojumu_pamats"/>
    <w:basedOn w:val="Normal"/>
    <w:rsid w:val="00E900E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AD7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712">
      <w:bodyDiv w:val="1"/>
      <w:marLeft w:val="0"/>
      <w:marRight w:val="0"/>
      <w:marTop w:val="0"/>
      <w:marBottom w:val="0"/>
      <w:divBdr>
        <w:top w:val="none" w:sz="0" w:space="0" w:color="auto"/>
        <w:left w:val="none" w:sz="0" w:space="0" w:color="auto"/>
        <w:bottom w:val="none" w:sz="0" w:space="0" w:color="auto"/>
        <w:right w:val="none" w:sz="0" w:space="0" w:color="auto"/>
      </w:divBdr>
    </w:div>
    <w:div w:id="117073341">
      <w:bodyDiv w:val="1"/>
      <w:marLeft w:val="0"/>
      <w:marRight w:val="0"/>
      <w:marTop w:val="0"/>
      <w:marBottom w:val="0"/>
      <w:divBdr>
        <w:top w:val="none" w:sz="0" w:space="0" w:color="auto"/>
        <w:left w:val="none" w:sz="0" w:space="0" w:color="auto"/>
        <w:bottom w:val="none" w:sz="0" w:space="0" w:color="auto"/>
        <w:right w:val="none" w:sz="0" w:space="0" w:color="auto"/>
      </w:divBdr>
      <w:divsChild>
        <w:div w:id="993722935">
          <w:marLeft w:val="0"/>
          <w:marRight w:val="0"/>
          <w:marTop w:val="0"/>
          <w:marBottom w:val="0"/>
          <w:divBdr>
            <w:top w:val="none" w:sz="0" w:space="0" w:color="auto"/>
            <w:left w:val="none" w:sz="0" w:space="0" w:color="auto"/>
            <w:bottom w:val="none" w:sz="0" w:space="0" w:color="auto"/>
            <w:right w:val="none" w:sz="0" w:space="0" w:color="auto"/>
          </w:divBdr>
        </w:div>
        <w:div w:id="1851873656">
          <w:marLeft w:val="0"/>
          <w:marRight w:val="0"/>
          <w:marTop w:val="0"/>
          <w:marBottom w:val="0"/>
          <w:divBdr>
            <w:top w:val="none" w:sz="0" w:space="0" w:color="auto"/>
            <w:left w:val="none" w:sz="0" w:space="0" w:color="auto"/>
            <w:bottom w:val="none" w:sz="0" w:space="0" w:color="auto"/>
            <w:right w:val="none" w:sz="0" w:space="0" w:color="auto"/>
          </w:divBdr>
        </w:div>
        <w:div w:id="1747678641">
          <w:marLeft w:val="0"/>
          <w:marRight w:val="0"/>
          <w:marTop w:val="0"/>
          <w:marBottom w:val="0"/>
          <w:divBdr>
            <w:top w:val="none" w:sz="0" w:space="0" w:color="auto"/>
            <w:left w:val="none" w:sz="0" w:space="0" w:color="auto"/>
            <w:bottom w:val="none" w:sz="0" w:space="0" w:color="auto"/>
            <w:right w:val="none" w:sz="0" w:space="0" w:color="auto"/>
          </w:divBdr>
        </w:div>
        <w:div w:id="1067411497">
          <w:marLeft w:val="0"/>
          <w:marRight w:val="0"/>
          <w:marTop w:val="0"/>
          <w:marBottom w:val="0"/>
          <w:divBdr>
            <w:top w:val="none" w:sz="0" w:space="0" w:color="auto"/>
            <w:left w:val="none" w:sz="0" w:space="0" w:color="auto"/>
            <w:bottom w:val="none" w:sz="0" w:space="0" w:color="auto"/>
            <w:right w:val="none" w:sz="0" w:space="0" w:color="auto"/>
          </w:divBdr>
        </w:div>
      </w:divsChild>
    </w:div>
    <w:div w:id="144706374">
      <w:bodyDiv w:val="1"/>
      <w:marLeft w:val="0"/>
      <w:marRight w:val="0"/>
      <w:marTop w:val="0"/>
      <w:marBottom w:val="0"/>
      <w:divBdr>
        <w:top w:val="none" w:sz="0" w:space="0" w:color="auto"/>
        <w:left w:val="none" w:sz="0" w:space="0" w:color="auto"/>
        <w:bottom w:val="none" w:sz="0" w:space="0" w:color="auto"/>
        <w:right w:val="none" w:sz="0" w:space="0" w:color="auto"/>
      </w:divBdr>
      <w:divsChild>
        <w:div w:id="876893056">
          <w:marLeft w:val="0"/>
          <w:marRight w:val="0"/>
          <w:marTop w:val="0"/>
          <w:marBottom w:val="0"/>
          <w:divBdr>
            <w:top w:val="none" w:sz="0" w:space="0" w:color="auto"/>
            <w:left w:val="none" w:sz="0" w:space="0" w:color="auto"/>
            <w:bottom w:val="none" w:sz="0" w:space="0" w:color="auto"/>
            <w:right w:val="none" w:sz="0" w:space="0" w:color="auto"/>
          </w:divBdr>
        </w:div>
        <w:div w:id="1710837521">
          <w:marLeft w:val="0"/>
          <w:marRight w:val="0"/>
          <w:marTop w:val="0"/>
          <w:marBottom w:val="0"/>
          <w:divBdr>
            <w:top w:val="none" w:sz="0" w:space="0" w:color="auto"/>
            <w:left w:val="none" w:sz="0" w:space="0" w:color="auto"/>
            <w:bottom w:val="none" w:sz="0" w:space="0" w:color="auto"/>
            <w:right w:val="none" w:sz="0" w:space="0" w:color="auto"/>
          </w:divBdr>
        </w:div>
        <w:div w:id="1848867309">
          <w:marLeft w:val="0"/>
          <w:marRight w:val="0"/>
          <w:marTop w:val="0"/>
          <w:marBottom w:val="0"/>
          <w:divBdr>
            <w:top w:val="none" w:sz="0" w:space="0" w:color="auto"/>
            <w:left w:val="none" w:sz="0" w:space="0" w:color="auto"/>
            <w:bottom w:val="none" w:sz="0" w:space="0" w:color="auto"/>
            <w:right w:val="none" w:sz="0" w:space="0" w:color="auto"/>
          </w:divBdr>
        </w:div>
        <w:div w:id="514227993">
          <w:marLeft w:val="0"/>
          <w:marRight w:val="0"/>
          <w:marTop w:val="0"/>
          <w:marBottom w:val="0"/>
          <w:divBdr>
            <w:top w:val="none" w:sz="0" w:space="0" w:color="auto"/>
            <w:left w:val="none" w:sz="0" w:space="0" w:color="auto"/>
            <w:bottom w:val="none" w:sz="0" w:space="0" w:color="auto"/>
            <w:right w:val="none" w:sz="0" w:space="0" w:color="auto"/>
          </w:divBdr>
        </w:div>
      </w:divsChild>
    </w:div>
    <w:div w:id="187180694">
      <w:bodyDiv w:val="1"/>
      <w:marLeft w:val="0"/>
      <w:marRight w:val="0"/>
      <w:marTop w:val="0"/>
      <w:marBottom w:val="0"/>
      <w:divBdr>
        <w:top w:val="none" w:sz="0" w:space="0" w:color="auto"/>
        <w:left w:val="none" w:sz="0" w:space="0" w:color="auto"/>
        <w:bottom w:val="none" w:sz="0" w:space="0" w:color="auto"/>
        <w:right w:val="none" w:sz="0" w:space="0" w:color="auto"/>
      </w:divBdr>
    </w:div>
    <w:div w:id="645085609">
      <w:bodyDiv w:val="1"/>
      <w:marLeft w:val="0"/>
      <w:marRight w:val="0"/>
      <w:marTop w:val="0"/>
      <w:marBottom w:val="0"/>
      <w:divBdr>
        <w:top w:val="none" w:sz="0" w:space="0" w:color="auto"/>
        <w:left w:val="none" w:sz="0" w:space="0" w:color="auto"/>
        <w:bottom w:val="none" w:sz="0" w:space="0" w:color="auto"/>
        <w:right w:val="none" w:sz="0" w:space="0" w:color="auto"/>
      </w:divBdr>
    </w:div>
    <w:div w:id="709456794">
      <w:bodyDiv w:val="1"/>
      <w:marLeft w:val="0"/>
      <w:marRight w:val="0"/>
      <w:marTop w:val="0"/>
      <w:marBottom w:val="0"/>
      <w:divBdr>
        <w:top w:val="none" w:sz="0" w:space="0" w:color="auto"/>
        <w:left w:val="none" w:sz="0" w:space="0" w:color="auto"/>
        <w:bottom w:val="none" w:sz="0" w:space="0" w:color="auto"/>
        <w:right w:val="none" w:sz="0" w:space="0" w:color="auto"/>
      </w:divBdr>
    </w:div>
    <w:div w:id="844322234">
      <w:bodyDiv w:val="1"/>
      <w:marLeft w:val="0"/>
      <w:marRight w:val="0"/>
      <w:marTop w:val="0"/>
      <w:marBottom w:val="0"/>
      <w:divBdr>
        <w:top w:val="none" w:sz="0" w:space="0" w:color="auto"/>
        <w:left w:val="none" w:sz="0" w:space="0" w:color="auto"/>
        <w:bottom w:val="none" w:sz="0" w:space="0" w:color="auto"/>
        <w:right w:val="none" w:sz="0" w:space="0" w:color="auto"/>
      </w:divBdr>
    </w:div>
    <w:div w:id="922690213">
      <w:bodyDiv w:val="1"/>
      <w:marLeft w:val="0"/>
      <w:marRight w:val="0"/>
      <w:marTop w:val="0"/>
      <w:marBottom w:val="0"/>
      <w:divBdr>
        <w:top w:val="none" w:sz="0" w:space="0" w:color="auto"/>
        <w:left w:val="none" w:sz="0" w:space="0" w:color="auto"/>
        <w:bottom w:val="none" w:sz="0" w:space="0" w:color="auto"/>
        <w:right w:val="none" w:sz="0" w:space="0" w:color="auto"/>
      </w:divBdr>
    </w:div>
    <w:div w:id="1241449297">
      <w:bodyDiv w:val="1"/>
      <w:marLeft w:val="0"/>
      <w:marRight w:val="0"/>
      <w:marTop w:val="0"/>
      <w:marBottom w:val="0"/>
      <w:divBdr>
        <w:top w:val="none" w:sz="0" w:space="0" w:color="auto"/>
        <w:left w:val="none" w:sz="0" w:space="0" w:color="auto"/>
        <w:bottom w:val="none" w:sz="0" w:space="0" w:color="auto"/>
        <w:right w:val="none" w:sz="0" w:space="0" w:color="auto"/>
      </w:divBdr>
      <w:divsChild>
        <w:div w:id="1902326388">
          <w:marLeft w:val="0"/>
          <w:marRight w:val="0"/>
          <w:marTop w:val="0"/>
          <w:marBottom w:val="0"/>
          <w:divBdr>
            <w:top w:val="none" w:sz="0" w:space="0" w:color="auto"/>
            <w:left w:val="none" w:sz="0" w:space="0" w:color="auto"/>
            <w:bottom w:val="none" w:sz="0" w:space="0" w:color="auto"/>
            <w:right w:val="none" w:sz="0" w:space="0" w:color="auto"/>
          </w:divBdr>
        </w:div>
        <w:div w:id="541750512">
          <w:marLeft w:val="0"/>
          <w:marRight w:val="0"/>
          <w:marTop w:val="0"/>
          <w:marBottom w:val="0"/>
          <w:divBdr>
            <w:top w:val="none" w:sz="0" w:space="0" w:color="auto"/>
            <w:left w:val="none" w:sz="0" w:space="0" w:color="auto"/>
            <w:bottom w:val="none" w:sz="0" w:space="0" w:color="auto"/>
            <w:right w:val="none" w:sz="0" w:space="0" w:color="auto"/>
          </w:divBdr>
        </w:div>
        <w:div w:id="988285349">
          <w:marLeft w:val="0"/>
          <w:marRight w:val="0"/>
          <w:marTop w:val="0"/>
          <w:marBottom w:val="0"/>
          <w:divBdr>
            <w:top w:val="none" w:sz="0" w:space="0" w:color="auto"/>
            <w:left w:val="none" w:sz="0" w:space="0" w:color="auto"/>
            <w:bottom w:val="none" w:sz="0" w:space="0" w:color="auto"/>
            <w:right w:val="none" w:sz="0" w:space="0" w:color="auto"/>
          </w:divBdr>
        </w:div>
        <w:div w:id="407073855">
          <w:marLeft w:val="0"/>
          <w:marRight w:val="0"/>
          <w:marTop w:val="0"/>
          <w:marBottom w:val="0"/>
          <w:divBdr>
            <w:top w:val="none" w:sz="0" w:space="0" w:color="auto"/>
            <w:left w:val="none" w:sz="0" w:space="0" w:color="auto"/>
            <w:bottom w:val="none" w:sz="0" w:space="0" w:color="auto"/>
            <w:right w:val="none" w:sz="0" w:space="0" w:color="auto"/>
          </w:divBdr>
        </w:div>
        <w:div w:id="1013721489">
          <w:marLeft w:val="0"/>
          <w:marRight w:val="0"/>
          <w:marTop w:val="0"/>
          <w:marBottom w:val="0"/>
          <w:divBdr>
            <w:top w:val="none" w:sz="0" w:space="0" w:color="auto"/>
            <w:left w:val="none" w:sz="0" w:space="0" w:color="auto"/>
            <w:bottom w:val="none" w:sz="0" w:space="0" w:color="auto"/>
            <w:right w:val="none" w:sz="0" w:space="0" w:color="auto"/>
          </w:divBdr>
        </w:div>
        <w:div w:id="560101177">
          <w:marLeft w:val="0"/>
          <w:marRight w:val="0"/>
          <w:marTop w:val="0"/>
          <w:marBottom w:val="0"/>
          <w:divBdr>
            <w:top w:val="none" w:sz="0" w:space="0" w:color="auto"/>
            <w:left w:val="none" w:sz="0" w:space="0" w:color="auto"/>
            <w:bottom w:val="none" w:sz="0" w:space="0" w:color="auto"/>
            <w:right w:val="none" w:sz="0" w:space="0" w:color="auto"/>
          </w:divBdr>
        </w:div>
        <w:div w:id="1851872988">
          <w:marLeft w:val="0"/>
          <w:marRight w:val="0"/>
          <w:marTop w:val="0"/>
          <w:marBottom w:val="0"/>
          <w:divBdr>
            <w:top w:val="none" w:sz="0" w:space="0" w:color="auto"/>
            <w:left w:val="none" w:sz="0" w:space="0" w:color="auto"/>
            <w:bottom w:val="none" w:sz="0" w:space="0" w:color="auto"/>
            <w:right w:val="none" w:sz="0" w:space="0" w:color="auto"/>
          </w:divBdr>
        </w:div>
        <w:div w:id="1176386179">
          <w:marLeft w:val="0"/>
          <w:marRight w:val="0"/>
          <w:marTop w:val="0"/>
          <w:marBottom w:val="0"/>
          <w:divBdr>
            <w:top w:val="none" w:sz="0" w:space="0" w:color="auto"/>
            <w:left w:val="none" w:sz="0" w:space="0" w:color="auto"/>
            <w:bottom w:val="none" w:sz="0" w:space="0" w:color="auto"/>
            <w:right w:val="none" w:sz="0" w:space="0" w:color="auto"/>
          </w:divBdr>
        </w:div>
      </w:divsChild>
    </w:div>
    <w:div w:id="1301302936">
      <w:bodyDiv w:val="1"/>
      <w:marLeft w:val="0"/>
      <w:marRight w:val="0"/>
      <w:marTop w:val="0"/>
      <w:marBottom w:val="0"/>
      <w:divBdr>
        <w:top w:val="none" w:sz="0" w:space="0" w:color="auto"/>
        <w:left w:val="none" w:sz="0" w:space="0" w:color="auto"/>
        <w:bottom w:val="none" w:sz="0" w:space="0" w:color="auto"/>
        <w:right w:val="none" w:sz="0" w:space="0" w:color="auto"/>
      </w:divBdr>
    </w:div>
    <w:div w:id="1693844597">
      <w:bodyDiv w:val="1"/>
      <w:marLeft w:val="0"/>
      <w:marRight w:val="0"/>
      <w:marTop w:val="0"/>
      <w:marBottom w:val="0"/>
      <w:divBdr>
        <w:top w:val="none" w:sz="0" w:space="0" w:color="auto"/>
        <w:left w:val="none" w:sz="0" w:space="0" w:color="auto"/>
        <w:bottom w:val="none" w:sz="0" w:space="0" w:color="auto"/>
        <w:right w:val="none" w:sz="0" w:space="0" w:color="auto"/>
      </w:divBdr>
    </w:div>
    <w:div w:id="1721781371">
      <w:bodyDiv w:val="1"/>
      <w:marLeft w:val="0"/>
      <w:marRight w:val="0"/>
      <w:marTop w:val="0"/>
      <w:marBottom w:val="0"/>
      <w:divBdr>
        <w:top w:val="none" w:sz="0" w:space="0" w:color="auto"/>
        <w:left w:val="none" w:sz="0" w:space="0" w:color="auto"/>
        <w:bottom w:val="none" w:sz="0" w:space="0" w:color="auto"/>
        <w:right w:val="none" w:sz="0" w:space="0" w:color="auto"/>
      </w:divBdr>
    </w:div>
    <w:div w:id="1734885859">
      <w:bodyDiv w:val="1"/>
      <w:marLeft w:val="0"/>
      <w:marRight w:val="0"/>
      <w:marTop w:val="0"/>
      <w:marBottom w:val="0"/>
      <w:divBdr>
        <w:top w:val="none" w:sz="0" w:space="0" w:color="auto"/>
        <w:left w:val="none" w:sz="0" w:space="0" w:color="auto"/>
        <w:bottom w:val="none" w:sz="0" w:space="0" w:color="auto"/>
        <w:right w:val="none" w:sz="0" w:space="0" w:color="auto"/>
      </w:divBdr>
    </w:div>
    <w:div w:id="1738284957">
      <w:bodyDiv w:val="1"/>
      <w:marLeft w:val="0"/>
      <w:marRight w:val="0"/>
      <w:marTop w:val="0"/>
      <w:marBottom w:val="0"/>
      <w:divBdr>
        <w:top w:val="none" w:sz="0" w:space="0" w:color="auto"/>
        <w:left w:val="none" w:sz="0" w:space="0" w:color="auto"/>
        <w:bottom w:val="none" w:sz="0" w:space="0" w:color="auto"/>
        <w:right w:val="none" w:sz="0" w:space="0" w:color="auto"/>
      </w:divBdr>
    </w:div>
    <w:div w:id="1918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D749-DC2A-FB45-BD3F-AE0C5296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NORMATĪVIE NOTEIKUMI</vt:lpstr>
      <vt:lpstr/>
    </vt:vector>
  </TitlesOfParts>
  <Company>Microsoft</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NORMATĪVIE NOTEIKUMI</dc:title>
  <dc:subject>NORMATĪVIE NOTEIKUMI</dc:subject>
  <dc:creator>FKTK veidlapa</dc:creator>
  <cp:lastModifiedBy>Microsoft Office User</cp:lastModifiedBy>
  <cp:revision>2</cp:revision>
  <cp:lastPrinted>2019-03-27T08:37:00Z</cp:lastPrinted>
  <dcterms:created xsi:type="dcterms:W3CDTF">2019-09-05T13:05:00Z</dcterms:created>
  <dcterms:modified xsi:type="dcterms:W3CDTF">2019-09-05T13:05:00Z</dcterms:modified>
</cp:coreProperties>
</file>