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357B2" w14:textId="6BE736ED" w:rsidR="00B4257D" w:rsidRPr="00027CF8" w:rsidRDefault="00FF0217" w:rsidP="00B4257D">
      <w:pPr>
        <w:jc w:val="right"/>
        <w:rPr>
          <w:noProof/>
          <w:lang w:val="de-DE"/>
        </w:rPr>
      </w:pPr>
      <w:bookmarkStart w:id="0" w:name="_GoBack"/>
      <w:bookmarkEnd w:id="0"/>
      <w:r>
        <w:rPr>
          <w:noProof/>
          <w:lang w:val="de-DE"/>
        </w:rPr>
        <w:t xml:space="preserve"> </w:t>
      </w:r>
    </w:p>
    <w:p w14:paraId="0978331D" w14:textId="4AA75977" w:rsidR="00B4257D" w:rsidRPr="005A0590" w:rsidRDefault="007D3A5A" w:rsidP="00381C9E">
      <w:pPr>
        <w:tabs>
          <w:tab w:val="left" w:pos="5400"/>
        </w:tabs>
      </w:pPr>
      <w:r w:rsidRPr="005A0590">
        <w:t xml:space="preserve">26 July </w:t>
      </w:r>
      <w:r w:rsidR="00DE0613" w:rsidRPr="005A0590">
        <w:t>2019</w:t>
      </w:r>
      <w:r w:rsidR="00B4257D" w:rsidRPr="005A0590">
        <w:tab/>
        <w:t xml:space="preserve">          </w:t>
      </w:r>
      <w:r w:rsidR="00381C9E" w:rsidRPr="005A0590">
        <w:t xml:space="preserve">                 </w:t>
      </w:r>
      <w:r w:rsidR="00B4257D" w:rsidRPr="005A0590">
        <w:t xml:space="preserve">  </w:t>
      </w:r>
      <w:r w:rsidR="00381C9E" w:rsidRPr="005A0590">
        <w:t xml:space="preserve">Regulations No </w:t>
      </w:r>
      <w:r w:rsidR="00CD654C" w:rsidRPr="005A0590">
        <w:t>123</w:t>
      </w:r>
      <w:r w:rsidR="00B4257D" w:rsidRPr="005A0590">
        <w:t xml:space="preserve">        </w:t>
      </w:r>
    </w:p>
    <w:p w14:paraId="34C54C77" w14:textId="326EBA01" w:rsidR="00B4257D" w:rsidRPr="005A0590" w:rsidRDefault="00B4257D" w:rsidP="00381C9E">
      <w:pPr>
        <w:tabs>
          <w:tab w:val="left" w:pos="-142"/>
          <w:tab w:val="left" w:pos="9072"/>
        </w:tabs>
        <w:jc w:val="right"/>
      </w:pPr>
      <w:r w:rsidRPr="005A0590">
        <w:t>R</w:t>
      </w:r>
      <w:r w:rsidR="007D3A5A" w:rsidRPr="005A0590">
        <w:t>iga</w:t>
      </w:r>
      <w:r w:rsidR="00381C9E" w:rsidRPr="005A0590">
        <w:t xml:space="preserve"> </w:t>
      </w:r>
      <w:r w:rsidRPr="005A0590">
        <w:t xml:space="preserve">                                                               </w:t>
      </w:r>
      <w:r w:rsidR="00381C9E" w:rsidRPr="005A0590">
        <w:t xml:space="preserve">               </w:t>
      </w:r>
      <w:r w:rsidRPr="005A0590">
        <w:t>(</w:t>
      </w:r>
      <w:r w:rsidR="00381C9E" w:rsidRPr="005A0590">
        <w:t xml:space="preserve">Min No 37, p.2 of the Meeting of the                                    Board of </w:t>
      </w:r>
      <w:r w:rsidRPr="005A0590">
        <w:t>Finan</w:t>
      </w:r>
      <w:r w:rsidR="007E15FD" w:rsidRPr="005A0590">
        <w:t>c</w:t>
      </w:r>
      <w:r w:rsidR="00381C9E" w:rsidRPr="005A0590">
        <w:t>ial and Capital Market Commission</w:t>
      </w:r>
      <w:r w:rsidRPr="005A0590">
        <w:t>)</w:t>
      </w:r>
    </w:p>
    <w:p w14:paraId="10134AC6" w14:textId="77777777" w:rsidR="00B4257D" w:rsidRPr="005A0590" w:rsidRDefault="00B4257D" w:rsidP="00B4257D">
      <w:pPr>
        <w:jc w:val="both"/>
      </w:pPr>
    </w:p>
    <w:p w14:paraId="27870AA2" w14:textId="75C2994F" w:rsidR="00627FAA" w:rsidRPr="005A0590" w:rsidRDefault="00733A45" w:rsidP="004A51A0">
      <w:pPr>
        <w:pStyle w:val="NormalWeb"/>
        <w:spacing w:before="0" w:beforeAutospacing="0" w:after="0" w:afterAutospacing="0"/>
        <w:jc w:val="center"/>
        <w:rPr>
          <w:rFonts w:ascii="Roboto" w:hAnsi="Roboto" w:hint="eastAsia"/>
          <w:i/>
          <w:sz w:val="28"/>
          <w:szCs w:val="28"/>
          <w:shd w:val="clear" w:color="auto" w:fill="FFFFFF"/>
        </w:rPr>
      </w:pPr>
      <w:r w:rsidRPr="005A0590">
        <w:rPr>
          <w:rFonts w:ascii="Times New Roman" w:hAnsi="Times New Roman"/>
          <w:sz w:val="28"/>
          <w:szCs w:val="28"/>
          <w:lang w:val="en-GB"/>
        </w:rPr>
        <w:t xml:space="preserve">Regulations for </w:t>
      </w:r>
      <w:r w:rsidR="000F0F2C" w:rsidRPr="005A0590">
        <w:rPr>
          <w:rFonts w:ascii="Times New Roman" w:hAnsi="Times New Roman"/>
          <w:sz w:val="28"/>
          <w:szCs w:val="28"/>
          <w:shd w:val="clear" w:color="auto" w:fill="FFFFFF"/>
        </w:rPr>
        <w:t xml:space="preserve">Restrictions </w:t>
      </w:r>
      <w:r w:rsidRPr="005A0590">
        <w:rPr>
          <w:rFonts w:ascii="Times New Roman" w:hAnsi="Times New Roman"/>
          <w:sz w:val="28"/>
          <w:szCs w:val="28"/>
          <w:shd w:val="clear" w:color="auto" w:fill="FFFFFF"/>
        </w:rPr>
        <w:t xml:space="preserve">on the </w:t>
      </w:r>
      <w:r w:rsidR="000F0F2C" w:rsidRPr="005A0590">
        <w:rPr>
          <w:rFonts w:ascii="Times New Roman" w:hAnsi="Times New Roman"/>
          <w:sz w:val="28"/>
          <w:szCs w:val="28"/>
          <w:shd w:val="clear" w:color="auto" w:fill="FFFFFF"/>
        </w:rPr>
        <w:t>Marketing</w:t>
      </w:r>
      <w:r w:rsidRPr="005A0590">
        <w:rPr>
          <w:rFonts w:ascii="Times New Roman" w:hAnsi="Times New Roman"/>
          <w:sz w:val="28"/>
          <w:szCs w:val="28"/>
          <w:shd w:val="clear" w:color="auto" w:fill="FFFFFF"/>
        </w:rPr>
        <w:t xml:space="preserve">, </w:t>
      </w:r>
      <w:r w:rsidR="000F0F2C" w:rsidRPr="005A0590">
        <w:rPr>
          <w:rFonts w:ascii="Times New Roman" w:hAnsi="Times New Roman"/>
          <w:sz w:val="28"/>
          <w:szCs w:val="28"/>
          <w:shd w:val="clear" w:color="auto" w:fill="FFFFFF"/>
        </w:rPr>
        <w:t xml:space="preserve">Distribution </w:t>
      </w:r>
      <w:r w:rsidR="000F0F2C">
        <w:rPr>
          <w:rFonts w:ascii="Times New Roman" w:hAnsi="Times New Roman"/>
          <w:sz w:val="28"/>
          <w:szCs w:val="28"/>
          <w:shd w:val="clear" w:color="auto" w:fill="FFFFFF"/>
        </w:rPr>
        <w:t>and</w:t>
      </w:r>
      <w:r w:rsidRPr="005A0590">
        <w:rPr>
          <w:rFonts w:ascii="Times New Roman" w:hAnsi="Times New Roman"/>
          <w:sz w:val="28"/>
          <w:szCs w:val="28"/>
          <w:shd w:val="clear" w:color="auto" w:fill="FFFFFF"/>
        </w:rPr>
        <w:t xml:space="preserve"> </w:t>
      </w:r>
      <w:r w:rsidR="000F0F2C" w:rsidRPr="005A0590">
        <w:rPr>
          <w:rFonts w:ascii="Times New Roman" w:hAnsi="Times New Roman"/>
          <w:sz w:val="28"/>
          <w:szCs w:val="28"/>
          <w:shd w:val="clear" w:color="auto" w:fill="FFFFFF"/>
        </w:rPr>
        <w:t xml:space="preserve">Sale </w:t>
      </w:r>
      <w:r w:rsidRPr="005A0590">
        <w:rPr>
          <w:rFonts w:ascii="Times New Roman" w:hAnsi="Times New Roman"/>
          <w:sz w:val="28"/>
          <w:szCs w:val="28"/>
          <w:shd w:val="clear" w:color="auto" w:fill="FFFFFF"/>
        </w:rPr>
        <w:t xml:space="preserve">of </w:t>
      </w:r>
      <w:r w:rsidR="000F0F2C" w:rsidRPr="005A0590">
        <w:rPr>
          <w:rFonts w:ascii="Times New Roman" w:hAnsi="Times New Roman"/>
          <w:sz w:val="28"/>
          <w:szCs w:val="28"/>
          <w:shd w:val="clear" w:color="auto" w:fill="FFFFFF"/>
        </w:rPr>
        <w:t xml:space="preserve">Contracts </w:t>
      </w:r>
      <w:r w:rsidR="004A51A0" w:rsidRPr="005A0590">
        <w:rPr>
          <w:rFonts w:ascii="Times New Roman" w:hAnsi="Times New Roman"/>
          <w:sz w:val="28"/>
          <w:szCs w:val="28"/>
          <w:shd w:val="clear" w:color="auto" w:fill="FFFFFF"/>
        </w:rPr>
        <w:t xml:space="preserve">for </w:t>
      </w:r>
      <w:r w:rsidR="000F0F2C" w:rsidRPr="005A0590">
        <w:rPr>
          <w:rFonts w:ascii="Times New Roman" w:hAnsi="Times New Roman"/>
          <w:sz w:val="28"/>
          <w:szCs w:val="28"/>
          <w:shd w:val="clear" w:color="auto" w:fill="FFFFFF"/>
        </w:rPr>
        <w:t xml:space="preserve">Differences </w:t>
      </w:r>
      <w:r w:rsidR="004A51A0" w:rsidRPr="005A0590">
        <w:rPr>
          <w:rFonts w:ascii="Times New Roman" w:hAnsi="Times New Roman"/>
          <w:sz w:val="28"/>
          <w:szCs w:val="28"/>
          <w:shd w:val="clear" w:color="auto" w:fill="FFFFFF"/>
        </w:rPr>
        <w:t xml:space="preserve">and </w:t>
      </w:r>
      <w:r w:rsidR="000F0F2C" w:rsidRPr="005A0590">
        <w:rPr>
          <w:rFonts w:ascii="Times New Roman" w:hAnsi="Times New Roman"/>
          <w:sz w:val="28"/>
          <w:szCs w:val="28"/>
          <w:shd w:val="clear" w:color="auto" w:fill="FFFFFF"/>
        </w:rPr>
        <w:t xml:space="preserve">Binary Options </w:t>
      </w:r>
      <w:r w:rsidRPr="005A0590">
        <w:rPr>
          <w:rFonts w:ascii="Times New Roman" w:hAnsi="Times New Roman"/>
          <w:sz w:val="28"/>
          <w:szCs w:val="28"/>
          <w:shd w:val="clear" w:color="auto" w:fill="FFFFFF"/>
        </w:rPr>
        <w:t xml:space="preserve">to </w:t>
      </w:r>
      <w:r w:rsidR="000F0F2C" w:rsidRPr="005A0590">
        <w:rPr>
          <w:rFonts w:ascii="Times New Roman" w:hAnsi="Times New Roman"/>
          <w:sz w:val="28"/>
          <w:szCs w:val="28"/>
          <w:shd w:val="clear" w:color="auto" w:fill="FFFFFF"/>
        </w:rPr>
        <w:t>Retail Client</w:t>
      </w:r>
      <w:r w:rsidR="000F0F2C" w:rsidRPr="005A0590">
        <w:rPr>
          <w:rFonts w:ascii="Roboto" w:hAnsi="Roboto" w:hint="eastAsia"/>
          <w:sz w:val="28"/>
          <w:szCs w:val="28"/>
          <w:shd w:val="clear" w:color="auto" w:fill="FFFFFF"/>
        </w:rPr>
        <w:t>s</w:t>
      </w:r>
      <w:r w:rsidR="000F0F2C" w:rsidRPr="005A0590">
        <w:rPr>
          <w:rFonts w:ascii="Roboto" w:hAnsi="Roboto" w:hint="eastAsia"/>
          <w:i/>
          <w:sz w:val="28"/>
          <w:szCs w:val="28"/>
          <w:shd w:val="clear" w:color="auto" w:fill="FFFFFF"/>
        </w:rPr>
        <w:t xml:space="preserve"> </w:t>
      </w:r>
    </w:p>
    <w:p w14:paraId="27AA5C02" w14:textId="77777777" w:rsidR="004A51A0" w:rsidRPr="005A0590" w:rsidRDefault="004A51A0" w:rsidP="004A51A0">
      <w:pPr>
        <w:pStyle w:val="NormalWeb"/>
        <w:spacing w:before="0" w:beforeAutospacing="0" w:after="0" w:afterAutospacing="0"/>
        <w:jc w:val="center"/>
        <w:rPr>
          <w:rFonts w:ascii="Times New Roman" w:hAnsi="Times New Roman"/>
          <w:i/>
          <w:sz w:val="28"/>
          <w:lang w:val="en-GB"/>
        </w:rPr>
      </w:pPr>
    </w:p>
    <w:p w14:paraId="31D5E0CC" w14:textId="54373AEC" w:rsidR="00EA5DBF" w:rsidRPr="005A0590" w:rsidRDefault="00381C9E" w:rsidP="00733A45">
      <w:pPr>
        <w:jc w:val="right"/>
        <w:rPr>
          <w:sz w:val="20"/>
          <w:szCs w:val="20"/>
        </w:rPr>
      </w:pPr>
      <w:r w:rsidRPr="005A0590">
        <w:rPr>
          <w:sz w:val="20"/>
          <w:szCs w:val="20"/>
        </w:rPr>
        <w:t xml:space="preserve">Issued in accordance with Section 7(1) and </w:t>
      </w:r>
      <w:r w:rsidR="00733A45" w:rsidRPr="005A0590">
        <w:rPr>
          <w:sz w:val="20"/>
          <w:szCs w:val="20"/>
        </w:rPr>
        <w:t xml:space="preserve">Section </w:t>
      </w:r>
      <w:r w:rsidRPr="005A0590">
        <w:rPr>
          <w:sz w:val="20"/>
          <w:szCs w:val="20"/>
        </w:rPr>
        <w:t>138</w:t>
      </w:r>
      <w:r w:rsidR="00733A45" w:rsidRPr="005A0590">
        <w:rPr>
          <w:sz w:val="20"/>
          <w:szCs w:val="20"/>
        </w:rPr>
        <w:t xml:space="preserve">(1), Clause </w:t>
      </w:r>
      <w:r w:rsidRPr="005A0590">
        <w:rPr>
          <w:sz w:val="20"/>
          <w:szCs w:val="20"/>
        </w:rPr>
        <w:t>19 of the L</w:t>
      </w:r>
      <w:r w:rsidR="00733A45" w:rsidRPr="005A0590">
        <w:rPr>
          <w:sz w:val="20"/>
          <w:szCs w:val="20"/>
        </w:rPr>
        <w:t xml:space="preserve">aw on the Financial Instruments </w:t>
      </w:r>
      <w:r w:rsidRPr="005A0590">
        <w:rPr>
          <w:sz w:val="20"/>
          <w:szCs w:val="20"/>
        </w:rPr>
        <w:t xml:space="preserve">Market </w:t>
      </w:r>
      <w:r w:rsidR="00733A45" w:rsidRPr="005A0590">
        <w:rPr>
          <w:sz w:val="20"/>
          <w:szCs w:val="20"/>
        </w:rPr>
        <w:t xml:space="preserve">and Article 42 </w:t>
      </w:r>
      <w:r w:rsidR="00292034" w:rsidRPr="005A0590">
        <w:rPr>
          <w:sz w:val="20"/>
          <w:szCs w:val="20"/>
        </w:rPr>
        <w:t xml:space="preserve">of </w:t>
      </w:r>
      <w:r w:rsidR="00733A45" w:rsidRPr="005A0590">
        <w:rPr>
          <w:sz w:val="20"/>
          <w:szCs w:val="20"/>
        </w:rPr>
        <w:t>Regulation (EU) No 600/2014 of the European Parliament and of the Council of 15 May 2014 on markets in financial instruments and amending Regulation (EU) No 648/2012</w:t>
      </w:r>
      <w:r w:rsidR="00EA5DBF" w:rsidRPr="005A0590">
        <w:rPr>
          <w:sz w:val="20"/>
          <w:szCs w:val="20"/>
        </w:rPr>
        <w:t xml:space="preserve"> </w:t>
      </w:r>
    </w:p>
    <w:p w14:paraId="751DCE6B" w14:textId="77777777" w:rsidR="006605D3" w:rsidRPr="005A0590" w:rsidRDefault="006605D3" w:rsidP="00B4257D">
      <w:pPr>
        <w:jc w:val="center"/>
        <w:rPr>
          <w:b/>
          <w:sz w:val="26"/>
          <w:szCs w:val="26"/>
        </w:rPr>
      </w:pPr>
    </w:p>
    <w:p w14:paraId="1384D6AF" w14:textId="77777777" w:rsidR="00A4616D" w:rsidRPr="005A0590" w:rsidRDefault="00A4616D" w:rsidP="00B4257D">
      <w:pPr>
        <w:jc w:val="center"/>
        <w:rPr>
          <w:b/>
          <w:sz w:val="26"/>
          <w:szCs w:val="26"/>
        </w:rPr>
      </w:pPr>
    </w:p>
    <w:p w14:paraId="6A2CBC22" w14:textId="4AD3EFE5" w:rsidR="004342A2" w:rsidRPr="005A0590" w:rsidRDefault="00623B23" w:rsidP="00B4257D">
      <w:pPr>
        <w:jc w:val="center"/>
        <w:rPr>
          <w:b/>
          <w:sz w:val="26"/>
          <w:szCs w:val="26"/>
        </w:rPr>
      </w:pPr>
      <w:r w:rsidRPr="005A0590">
        <w:rPr>
          <w:b/>
          <w:sz w:val="26"/>
          <w:szCs w:val="26"/>
        </w:rPr>
        <w:t xml:space="preserve">I. </w:t>
      </w:r>
      <w:r w:rsidR="00733A45" w:rsidRPr="005A0590">
        <w:rPr>
          <w:b/>
          <w:sz w:val="26"/>
          <w:szCs w:val="26"/>
        </w:rPr>
        <w:t xml:space="preserve">General provisions </w:t>
      </w:r>
    </w:p>
    <w:p w14:paraId="513A45E8" w14:textId="77777777" w:rsidR="009C1BFA" w:rsidRPr="005A0590" w:rsidRDefault="009C1BFA" w:rsidP="00B4257D">
      <w:pPr>
        <w:jc w:val="both"/>
      </w:pPr>
    </w:p>
    <w:p w14:paraId="2BBCB3FF" w14:textId="77777777" w:rsidR="004A51A0" w:rsidRPr="005A0590" w:rsidRDefault="004A51A0" w:rsidP="00B4257D">
      <w:pPr>
        <w:jc w:val="both"/>
      </w:pPr>
    </w:p>
    <w:p w14:paraId="112D10CA" w14:textId="4A582B70" w:rsidR="000A601D" w:rsidRPr="005A0590" w:rsidRDefault="000A601D" w:rsidP="004A51A0">
      <w:pPr>
        <w:pStyle w:val="NormalWeb"/>
        <w:spacing w:before="0" w:beforeAutospacing="0" w:after="0" w:afterAutospacing="0"/>
        <w:jc w:val="both"/>
        <w:rPr>
          <w:rFonts w:ascii="Times New Roman" w:hAnsi="Times New Roman"/>
          <w:lang w:val="en-GB"/>
        </w:rPr>
      </w:pPr>
      <w:r w:rsidRPr="005A0590">
        <w:rPr>
          <w:rFonts w:ascii="Times New Roman" w:hAnsi="Times New Roman"/>
          <w:lang w:val="en-GB"/>
        </w:rPr>
        <w:t>1. "</w:t>
      </w:r>
      <w:r w:rsidR="004A51A0" w:rsidRPr="005A0590">
        <w:rPr>
          <w:rFonts w:ascii="Times New Roman" w:hAnsi="Times New Roman"/>
          <w:lang w:val="en-GB"/>
        </w:rPr>
        <w:t xml:space="preserve">Regulations for </w:t>
      </w:r>
      <w:r w:rsidR="004A51A0" w:rsidRPr="005A0590">
        <w:rPr>
          <w:rFonts w:ascii="Times New Roman" w:hAnsi="Times New Roman"/>
          <w:shd w:val="clear" w:color="auto" w:fill="FFFFFF"/>
          <w:lang w:val="en-GB"/>
        </w:rPr>
        <w:t xml:space="preserve">restrictions on the </w:t>
      </w:r>
      <w:r w:rsidR="005A0590" w:rsidRPr="005A0590">
        <w:rPr>
          <w:rFonts w:ascii="Times New Roman" w:hAnsi="Times New Roman"/>
          <w:shd w:val="clear" w:color="auto" w:fill="FFFFFF"/>
          <w:lang w:val="en-GB"/>
        </w:rPr>
        <w:t>marketing</w:t>
      </w:r>
      <w:r w:rsidR="004A51A0" w:rsidRPr="005A0590">
        <w:rPr>
          <w:rFonts w:ascii="Times New Roman" w:hAnsi="Times New Roman"/>
          <w:shd w:val="clear" w:color="auto" w:fill="FFFFFF"/>
          <w:lang w:val="en-GB"/>
        </w:rPr>
        <w:t xml:space="preserve">, distribution </w:t>
      </w:r>
      <w:r w:rsidR="000F0F2C">
        <w:rPr>
          <w:rFonts w:ascii="Times New Roman" w:hAnsi="Times New Roman"/>
          <w:shd w:val="clear" w:color="auto" w:fill="FFFFFF"/>
          <w:lang w:val="en-GB"/>
        </w:rPr>
        <w:t>and</w:t>
      </w:r>
      <w:r w:rsidR="004A51A0" w:rsidRPr="005A0590">
        <w:rPr>
          <w:rFonts w:ascii="Times New Roman" w:hAnsi="Times New Roman"/>
          <w:shd w:val="clear" w:color="auto" w:fill="FFFFFF"/>
          <w:lang w:val="en-GB"/>
        </w:rPr>
        <w:t xml:space="preserve"> sale of contracts for di</w:t>
      </w:r>
      <w:r w:rsidR="007E15FD" w:rsidRPr="005A0590">
        <w:rPr>
          <w:rFonts w:ascii="Times New Roman" w:hAnsi="Times New Roman"/>
          <w:shd w:val="clear" w:color="auto" w:fill="FFFFFF"/>
          <w:lang w:val="en-GB"/>
        </w:rPr>
        <w:t>f</w:t>
      </w:r>
      <w:r w:rsidR="004A51A0" w:rsidRPr="005A0590">
        <w:rPr>
          <w:rFonts w:ascii="Times New Roman" w:hAnsi="Times New Roman"/>
          <w:shd w:val="clear" w:color="auto" w:fill="FFFFFF"/>
          <w:lang w:val="en-GB"/>
        </w:rPr>
        <w:t>ferences and binary options to retail clients" (</w:t>
      </w:r>
      <w:r w:rsidR="007E15FD" w:rsidRPr="005A0590">
        <w:rPr>
          <w:rFonts w:ascii="Times New Roman" w:hAnsi="Times New Roman"/>
          <w:shd w:val="clear" w:color="auto" w:fill="FFFFFF"/>
          <w:lang w:val="en-GB"/>
        </w:rPr>
        <w:t>herein</w:t>
      </w:r>
      <w:r w:rsidR="004A51A0" w:rsidRPr="005A0590">
        <w:rPr>
          <w:rFonts w:ascii="Times New Roman" w:hAnsi="Times New Roman"/>
          <w:shd w:val="clear" w:color="auto" w:fill="FFFFFF"/>
          <w:lang w:val="en-GB"/>
        </w:rPr>
        <w:t>a</w:t>
      </w:r>
      <w:r w:rsidR="007E15FD" w:rsidRPr="005A0590">
        <w:rPr>
          <w:rFonts w:ascii="Times New Roman" w:hAnsi="Times New Roman"/>
          <w:shd w:val="clear" w:color="auto" w:fill="FFFFFF"/>
          <w:lang w:val="en-GB"/>
        </w:rPr>
        <w:t>f</w:t>
      </w:r>
      <w:r w:rsidR="004A51A0" w:rsidRPr="005A0590">
        <w:rPr>
          <w:rFonts w:ascii="Times New Roman" w:hAnsi="Times New Roman"/>
          <w:shd w:val="clear" w:color="auto" w:fill="FFFFFF"/>
          <w:lang w:val="en-GB"/>
        </w:rPr>
        <w:t>ter – the Regulations)</w:t>
      </w:r>
      <w:r w:rsidR="004A51A0" w:rsidRPr="005A0590">
        <w:rPr>
          <w:rFonts w:ascii="Times New Roman" w:hAnsi="Times New Roman"/>
          <w:i/>
          <w:shd w:val="clear" w:color="auto" w:fill="FFFFFF"/>
          <w:lang w:val="en-GB"/>
        </w:rPr>
        <w:t xml:space="preserve"> </w:t>
      </w:r>
      <w:r w:rsidR="004A51A0" w:rsidRPr="005A0590">
        <w:rPr>
          <w:rFonts w:ascii="Times New Roman" w:hAnsi="Times New Roman"/>
          <w:shd w:val="clear" w:color="auto" w:fill="FFFFFF"/>
          <w:lang w:val="en-GB"/>
        </w:rPr>
        <w:t xml:space="preserve">shall apply to </w:t>
      </w:r>
      <w:r w:rsidR="006B38B5" w:rsidRPr="005A0590">
        <w:rPr>
          <w:rFonts w:ascii="Times New Roman" w:hAnsi="Times New Roman"/>
          <w:shd w:val="clear" w:color="auto" w:fill="FFFFFF"/>
          <w:lang w:val="en-GB"/>
        </w:rPr>
        <w:t xml:space="preserve">investment firms and credit institutions registered in </w:t>
      </w:r>
      <w:r w:rsidRPr="005A0590">
        <w:rPr>
          <w:rFonts w:ascii="Times New Roman" w:hAnsi="Times New Roman"/>
          <w:lang w:val="en-GB"/>
        </w:rPr>
        <w:t>Latvi</w:t>
      </w:r>
      <w:r w:rsidR="006B38B5" w:rsidRPr="005A0590">
        <w:rPr>
          <w:rFonts w:ascii="Times New Roman" w:hAnsi="Times New Roman"/>
          <w:lang w:val="en-GB"/>
        </w:rPr>
        <w:t>a regardless of the client's country of residence and investment firms and credit institutions registered in the European Union Member State and a foreign country</w:t>
      </w:r>
      <w:r w:rsidRPr="005A0590">
        <w:rPr>
          <w:rFonts w:ascii="Times New Roman" w:hAnsi="Times New Roman"/>
          <w:lang w:val="en-US"/>
        </w:rPr>
        <w:t xml:space="preserve"> </w:t>
      </w:r>
      <w:r w:rsidR="00AD1141" w:rsidRPr="005A0590">
        <w:rPr>
          <w:rFonts w:ascii="Times New Roman" w:hAnsi="Times New Roman"/>
          <w:lang w:val="en-US"/>
        </w:rPr>
        <w:t xml:space="preserve">providing investment services and ancillary investment services to the residents of Latvia and offering to retail clients a financial contract for differences </w:t>
      </w:r>
      <w:r w:rsidRPr="005A0590">
        <w:rPr>
          <w:rFonts w:ascii="Times New Roman" w:hAnsi="Times New Roman"/>
          <w:lang w:val="en-US"/>
        </w:rPr>
        <w:t>(</w:t>
      </w:r>
      <w:r w:rsidR="00AD1141" w:rsidRPr="005A0590">
        <w:rPr>
          <w:rFonts w:ascii="Times New Roman" w:hAnsi="Times New Roman"/>
          <w:lang w:val="en-US"/>
        </w:rPr>
        <w:t xml:space="preserve">hereinafter </w:t>
      </w:r>
      <w:r w:rsidRPr="005A0590">
        <w:rPr>
          <w:rFonts w:ascii="Times New Roman" w:hAnsi="Times New Roman"/>
          <w:lang w:val="en-US"/>
        </w:rPr>
        <w:t xml:space="preserve">– CFD) </w:t>
      </w:r>
      <w:r w:rsidR="00AD1141" w:rsidRPr="005A0590">
        <w:rPr>
          <w:rFonts w:ascii="Times New Roman" w:hAnsi="Times New Roman"/>
          <w:lang w:val="en-US"/>
        </w:rPr>
        <w:t xml:space="preserve">or a binary option contract </w:t>
      </w:r>
      <w:r w:rsidR="00574479" w:rsidRPr="005A0590">
        <w:rPr>
          <w:rFonts w:ascii="Times New Roman" w:hAnsi="Times New Roman"/>
          <w:lang w:val="en-US"/>
        </w:rPr>
        <w:t>(</w:t>
      </w:r>
      <w:r w:rsidR="00AD1141" w:rsidRPr="005A0590">
        <w:rPr>
          <w:rFonts w:ascii="Times New Roman" w:hAnsi="Times New Roman"/>
          <w:lang w:val="en-US"/>
        </w:rPr>
        <w:t xml:space="preserve">hereinafter </w:t>
      </w:r>
      <w:r w:rsidR="00574479" w:rsidRPr="005A0590">
        <w:rPr>
          <w:rFonts w:ascii="Times New Roman" w:hAnsi="Times New Roman"/>
          <w:lang w:val="en-US"/>
        </w:rPr>
        <w:t xml:space="preserve">– BO) </w:t>
      </w:r>
      <w:r w:rsidR="00AD1141" w:rsidRPr="005A0590">
        <w:rPr>
          <w:rFonts w:ascii="Times New Roman" w:hAnsi="Times New Roman"/>
          <w:lang w:val="en-US"/>
        </w:rPr>
        <w:t>transactions</w:t>
      </w:r>
      <w:r w:rsidR="00717159" w:rsidRPr="005A0590">
        <w:rPr>
          <w:rFonts w:ascii="Times New Roman" w:hAnsi="Times New Roman"/>
          <w:lang w:val="en-US"/>
        </w:rPr>
        <w:t xml:space="preserve">, </w:t>
      </w:r>
      <w:r w:rsidR="00AD1141" w:rsidRPr="005A0590">
        <w:rPr>
          <w:rFonts w:ascii="Times New Roman" w:hAnsi="Times New Roman"/>
          <w:lang w:val="en-US"/>
        </w:rPr>
        <w:t xml:space="preserve">with offering being understood as </w:t>
      </w:r>
      <w:r w:rsidR="00AD1141" w:rsidRPr="005A0590">
        <w:rPr>
          <w:rFonts w:ascii="Times New Roman" w:hAnsi="Times New Roman"/>
          <w:shd w:val="clear" w:color="auto" w:fill="FFFFFF"/>
          <w:lang w:val="en-GB"/>
        </w:rPr>
        <w:t xml:space="preserve">the </w:t>
      </w:r>
      <w:r w:rsidR="005A0590" w:rsidRPr="005A0590">
        <w:rPr>
          <w:rFonts w:ascii="Times New Roman" w:hAnsi="Times New Roman"/>
          <w:shd w:val="clear" w:color="auto" w:fill="FFFFFF"/>
          <w:lang w:val="en-GB"/>
        </w:rPr>
        <w:t>marketing</w:t>
      </w:r>
      <w:r w:rsidR="00AD1141" w:rsidRPr="005A0590">
        <w:rPr>
          <w:rFonts w:ascii="Times New Roman" w:hAnsi="Times New Roman"/>
          <w:shd w:val="clear" w:color="auto" w:fill="FFFFFF"/>
          <w:lang w:val="en-GB"/>
        </w:rPr>
        <w:t xml:space="preserve">, distribution </w:t>
      </w:r>
      <w:r w:rsidR="000F0F2C">
        <w:rPr>
          <w:rFonts w:ascii="Times New Roman" w:hAnsi="Times New Roman"/>
          <w:shd w:val="clear" w:color="auto" w:fill="FFFFFF"/>
          <w:lang w:val="en-GB"/>
        </w:rPr>
        <w:t>and</w:t>
      </w:r>
      <w:r w:rsidR="00AD1141" w:rsidRPr="005A0590">
        <w:rPr>
          <w:rFonts w:ascii="Times New Roman" w:hAnsi="Times New Roman"/>
          <w:shd w:val="clear" w:color="auto" w:fill="FFFFFF"/>
          <w:lang w:val="en-GB"/>
        </w:rPr>
        <w:t xml:space="preserve"> sale of </w:t>
      </w:r>
      <w:r w:rsidR="00717159" w:rsidRPr="005A0590">
        <w:rPr>
          <w:rFonts w:ascii="Times New Roman" w:hAnsi="Times New Roman"/>
          <w:lang w:val="en-US"/>
        </w:rPr>
        <w:t xml:space="preserve">CFD </w:t>
      </w:r>
      <w:r w:rsidR="00AD1141" w:rsidRPr="005A0590">
        <w:rPr>
          <w:rFonts w:ascii="Times New Roman" w:hAnsi="Times New Roman"/>
          <w:lang w:val="en-US"/>
        </w:rPr>
        <w:t>or</w:t>
      </w:r>
      <w:r w:rsidR="00717159" w:rsidRPr="005A0590">
        <w:rPr>
          <w:rFonts w:ascii="Times New Roman" w:hAnsi="Times New Roman"/>
          <w:lang w:val="en-GB"/>
        </w:rPr>
        <w:t xml:space="preserve"> BO </w:t>
      </w:r>
      <w:r w:rsidR="00B83241" w:rsidRPr="005A0590">
        <w:rPr>
          <w:rFonts w:ascii="Times New Roman" w:hAnsi="Times New Roman"/>
          <w:lang w:val="en-GB"/>
        </w:rPr>
        <w:t>(</w:t>
      </w:r>
      <w:r w:rsidR="00AD1141" w:rsidRPr="005A0590">
        <w:rPr>
          <w:rFonts w:ascii="Times New Roman" w:hAnsi="Times New Roman"/>
          <w:lang w:val="en-GB"/>
        </w:rPr>
        <w:t xml:space="preserve">hereinafter </w:t>
      </w:r>
      <w:r w:rsidR="00B83241" w:rsidRPr="005A0590">
        <w:rPr>
          <w:rFonts w:ascii="Times New Roman" w:hAnsi="Times New Roman"/>
          <w:lang w:val="en-GB"/>
        </w:rPr>
        <w:t xml:space="preserve">– </w:t>
      </w:r>
      <w:r w:rsidR="00AD1141" w:rsidRPr="005A0590">
        <w:rPr>
          <w:rFonts w:ascii="Times New Roman" w:hAnsi="Times New Roman"/>
          <w:lang w:val="en-GB"/>
        </w:rPr>
        <w:t>the provider</w:t>
      </w:r>
      <w:r w:rsidR="00B83241" w:rsidRPr="005A0590">
        <w:rPr>
          <w:rFonts w:ascii="Times New Roman" w:hAnsi="Times New Roman"/>
          <w:lang w:val="en-GB"/>
        </w:rPr>
        <w:t>)</w:t>
      </w:r>
      <w:r w:rsidRPr="005A0590">
        <w:rPr>
          <w:rFonts w:ascii="Times New Roman" w:hAnsi="Times New Roman"/>
          <w:lang w:val="en-GB"/>
        </w:rPr>
        <w:t>.</w:t>
      </w:r>
      <w:r w:rsidR="00574479" w:rsidRPr="005A0590">
        <w:rPr>
          <w:rFonts w:ascii="Times New Roman" w:hAnsi="Times New Roman"/>
          <w:lang w:val="en-GB"/>
        </w:rPr>
        <w:t xml:space="preserve"> </w:t>
      </w:r>
      <w:r w:rsidR="00733A45" w:rsidRPr="005A0590">
        <w:rPr>
          <w:rFonts w:ascii="Times New Roman" w:hAnsi="Times New Roman"/>
          <w:lang w:val="en-GB"/>
        </w:rPr>
        <w:t xml:space="preserve"> </w:t>
      </w:r>
    </w:p>
    <w:p w14:paraId="565D2915" w14:textId="77777777" w:rsidR="00E34A5E" w:rsidRPr="005A0590" w:rsidRDefault="00E34A5E" w:rsidP="004A51A0">
      <w:pPr>
        <w:pStyle w:val="ListParagraph"/>
        <w:ind w:left="0" w:firstLine="360"/>
        <w:jc w:val="both"/>
      </w:pPr>
      <w:r w:rsidRPr="005A0590">
        <w:t xml:space="preserve"> </w:t>
      </w:r>
    </w:p>
    <w:p w14:paraId="013D72B6" w14:textId="416DFF10" w:rsidR="008E1E5C" w:rsidRPr="005A0590" w:rsidRDefault="00C26643" w:rsidP="004A51A0">
      <w:pPr>
        <w:pStyle w:val="ListParagraph"/>
        <w:ind w:left="0" w:firstLine="360"/>
        <w:jc w:val="both"/>
        <w:rPr>
          <w:shd w:val="clear" w:color="auto" w:fill="FFFFFF"/>
        </w:rPr>
      </w:pPr>
      <w:r w:rsidRPr="005A0590">
        <w:t xml:space="preserve">2. </w:t>
      </w:r>
      <w:r w:rsidR="00F90B91" w:rsidRPr="005A0590">
        <w:t xml:space="preserve">The </w:t>
      </w:r>
      <w:r w:rsidR="00D83946" w:rsidRPr="005A0590">
        <w:t xml:space="preserve">CFD </w:t>
      </w:r>
      <w:r w:rsidR="00BC6634" w:rsidRPr="005A0590">
        <w:t>i</w:t>
      </w:r>
      <w:r w:rsidR="00F90B91" w:rsidRPr="005A0590">
        <w:t xml:space="preserve">s a </w:t>
      </w:r>
      <w:r w:rsidR="00713B57" w:rsidRPr="005A0590">
        <w:t xml:space="preserve">cash-settled </w:t>
      </w:r>
      <w:r w:rsidR="00F90B91" w:rsidRPr="005A0590">
        <w:t>fin</w:t>
      </w:r>
      <w:r w:rsidR="00A562E9" w:rsidRPr="005A0590">
        <w:t>an</w:t>
      </w:r>
      <w:r w:rsidR="00F90B91" w:rsidRPr="005A0590">
        <w:t>cial instrument contract other than</w:t>
      </w:r>
      <w:r w:rsidR="00EE0549" w:rsidRPr="005A0590">
        <w:t xml:space="preserve"> the</w:t>
      </w:r>
      <w:r w:rsidR="00F90B91" w:rsidRPr="005A0590">
        <w:t xml:space="preserve"> option contract</w:t>
      </w:r>
      <w:r w:rsidR="002D7B46" w:rsidRPr="005A0590">
        <w:t>,</w:t>
      </w:r>
      <w:r w:rsidR="00F90B91" w:rsidRPr="005A0590">
        <w:t xml:space="preserve"> </w:t>
      </w:r>
      <w:r w:rsidR="00513632" w:rsidRPr="005A0590">
        <w:rPr>
          <w:shd w:val="clear" w:color="auto" w:fill="FFFFFF"/>
        </w:rPr>
        <w:t>the purpose of which is to ensure the holder a long or short exposure to fluctuations in the price, level or value of an underlying</w:t>
      </w:r>
      <w:r w:rsidR="007F48A9" w:rsidRPr="005A0590">
        <w:rPr>
          <w:shd w:val="clear" w:color="auto" w:fill="FFFFFF"/>
        </w:rPr>
        <w:t xml:space="preserve"> asset</w:t>
      </w:r>
      <w:r w:rsidR="00513632" w:rsidRPr="005A0590">
        <w:rPr>
          <w:shd w:val="clear" w:color="auto" w:fill="FFFFFF"/>
        </w:rPr>
        <w:t>, irrespective of whether it is traded on a trading venue</w:t>
      </w:r>
      <w:r w:rsidR="002959A4" w:rsidRPr="005A0590">
        <w:rPr>
          <w:shd w:val="clear" w:color="auto" w:fill="FFFFFF"/>
        </w:rPr>
        <w:t>.</w:t>
      </w:r>
      <w:r w:rsidR="00D83946" w:rsidRPr="005A0590">
        <w:rPr>
          <w:shd w:val="clear" w:color="auto" w:fill="FFFFFF"/>
        </w:rPr>
        <w:t> </w:t>
      </w:r>
      <w:r w:rsidR="00BE4595" w:rsidRPr="005A0590">
        <w:rPr>
          <w:shd w:val="clear" w:color="auto" w:fill="FFFFFF"/>
        </w:rPr>
        <w:t xml:space="preserve">The </w:t>
      </w:r>
      <w:r w:rsidR="00D83946" w:rsidRPr="005A0590">
        <w:rPr>
          <w:rStyle w:val="italic"/>
          <w:iCs/>
          <w:shd w:val="clear" w:color="auto" w:fill="FFFFFF"/>
        </w:rPr>
        <w:t>CFD</w:t>
      </w:r>
      <w:r w:rsidR="00BE4595" w:rsidRPr="005A0590">
        <w:rPr>
          <w:rStyle w:val="italic"/>
          <w:iCs/>
          <w:shd w:val="clear" w:color="auto" w:fill="FFFFFF"/>
        </w:rPr>
        <w:t xml:space="preserve"> shall also include products of </w:t>
      </w:r>
      <w:r w:rsidR="007E43AB" w:rsidRPr="005A0590">
        <w:rPr>
          <w:shd w:val="clear" w:color="auto" w:fill="FFFFFF"/>
        </w:rPr>
        <w:t>rolling spot forex</w:t>
      </w:r>
      <w:r w:rsidR="00D83946" w:rsidRPr="005A0590">
        <w:rPr>
          <w:shd w:val="clear" w:color="auto" w:fill="FFFFFF"/>
        </w:rPr>
        <w:t xml:space="preserve"> </w:t>
      </w:r>
      <w:r w:rsidR="00BE4595" w:rsidRPr="005A0590">
        <w:rPr>
          <w:shd w:val="clear" w:color="auto" w:fill="FFFFFF"/>
        </w:rPr>
        <w:t xml:space="preserve">and </w:t>
      </w:r>
      <w:r w:rsidR="007E43AB" w:rsidRPr="005A0590">
        <w:rPr>
          <w:shd w:val="clear" w:color="auto" w:fill="FFFFFF"/>
        </w:rPr>
        <w:t>financial spread bets</w:t>
      </w:r>
      <w:r w:rsidR="00D83946" w:rsidRPr="005A0590">
        <w:rPr>
          <w:shd w:val="clear" w:color="auto" w:fill="FFFFFF"/>
        </w:rPr>
        <w:t>. </w:t>
      </w:r>
      <w:r w:rsidR="004E408B" w:rsidRPr="005A0590">
        <w:rPr>
          <w:shd w:val="clear" w:color="auto" w:fill="FFFFFF"/>
        </w:rPr>
        <w:t>T</w:t>
      </w:r>
      <w:r w:rsidR="00782563" w:rsidRPr="005A0590">
        <w:rPr>
          <w:shd w:val="clear" w:color="auto" w:fill="FFFFFF"/>
        </w:rPr>
        <w:t>he</w:t>
      </w:r>
      <w:r w:rsidR="004E408B" w:rsidRPr="005A0590">
        <w:rPr>
          <w:shd w:val="clear" w:color="auto" w:fill="FFFFFF"/>
        </w:rPr>
        <w:t xml:space="preserve"> Regulations shall not apply to futures and swaps traded on a regulated market and forward rate contracts not traded on a regulated market</w:t>
      </w:r>
      <w:r w:rsidR="00D83946" w:rsidRPr="005A0590">
        <w:rPr>
          <w:shd w:val="clear" w:color="auto" w:fill="FFFFFF"/>
        </w:rPr>
        <w:t>.</w:t>
      </w:r>
      <w:r w:rsidR="00381C9E" w:rsidRPr="005A0590">
        <w:rPr>
          <w:shd w:val="clear" w:color="auto" w:fill="FFFFFF"/>
        </w:rPr>
        <w:t xml:space="preserve"> </w:t>
      </w:r>
    </w:p>
    <w:p w14:paraId="54200027" w14:textId="77777777" w:rsidR="004E408B" w:rsidRPr="005A0590" w:rsidRDefault="004E408B" w:rsidP="004A51A0">
      <w:pPr>
        <w:pStyle w:val="ListParagraph"/>
        <w:ind w:left="0" w:firstLine="360"/>
        <w:jc w:val="both"/>
        <w:rPr>
          <w:color w:val="000000"/>
          <w:shd w:val="clear" w:color="auto" w:fill="FFFFFF"/>
        </w:rPr>
      </w:pPr>
    </w:p>
    <w:p w14:paraId="2D666FBC" w14:textId="04756F9A" w:rsidR="008E1E5C" w:rsidRPr="005A0590" w:rsidRDefault="00A710E6" w:rsidP="00B4257D">
      <w:pPr>
        <w:pStyle w:val="ListParagraph"/>
        <w:tabs>
          <w:tab w:val="left" w:pos="720"/>
          <w:tab w:val="left" w:pos="900"/>
        </w:tabs>
        <w:ind w:left="0" w:firstLine="360"/>
        <w:jc w:val="both"/>
      </w:pPr>
      <w:r w:rsidRPr="005A0590">
        <w:t>3</w:t>
      </w:r>
      <w:r w:rsidR="008E1E5C" w:rsidRPr="005A0590">
        <w:t xml:space="preserve">. </w:t>
      </w:r>
      <w:r w:rsidR="00A562E9" w:rsidRPr="005A0590">
        <w:t xml:space="preserve">The </w:t>
      </w:r>
      <w:r w:rsidR="00213045" w:rsidRPr="005A0590">
        <w:t>BO</w:t>
      </w:r>
      <w:r w:rsidR="008E1E5C" w:rsidRPr="005A0590">
        <w:t xml:space="preserve"> </w:t>
      </w:r>
      <w:r w:rsidR="00713B57" w:rsidRPr="005A0590">
        <w:t>is a cash-settled financial instrument contract, which provides that the cash payment of a fixed amount at the end of the term shall depend on whether one or more events</w:t>
      </w:r>
      <w:r w:rsidR="00713B57" w:rsidRPr="005A0590">
        <w:rPr>
          <w:rStyle w:val="FootnoteReference"/>
        </w:rPr>
        <w:footnoteReference w:customMarkFollows="1" w:id="1"/>
        <w:t>*</w:t>
      </w:r>
      <w:r w:rsidR="00713B57" w:rsidRPr="005A0590">
        <w:t xml:space="preserve"> related to the price of the underlying asset are occurring at the end of the term of the financial </w:t>
      </w:r>
      <w:r w:rsidR="00713B57" w:rsidRPr="005A0590">
        <w:lastRenderedPageBreak/>
        <w:t xml:space="preserve">instrument contract </w:t>
      </w:r>
      <w:r w:rsidR="008E1E5C" w:rsidRPr="005A0590">
        <w:t>(</w:t>
      </w:r>
      <w:r w:rsidR="00713B57" w:rsidRPr="005A0590">
        <w:t xml:space="preserve">for example, </w:t>
      </w:r>
      <w:r w:rsidR="00852D39" w:rsidRPr="005A0590">
        <w:t>the underlying asset has reached a certain price upon</w:t>
      </w:r>
      <w:r w:rsidR="008B006E" w:rsidRPr="005A0590">
        <w:t xml:space="preserve"> the</w:t>
      </w:r>
      <w:r w:rsidR="00852D39" w:rsidRPr="005A0590">
        <w:t xml:space="preserve"> expiry of the contract</w:t>
      </w:r>
      <w:r w:rsidR="008E1E5C" w:rsidRPr="005A0590">
        <w:t>).</w:t>
      </w:r>
    </w:p>
    <w:p w14:paraId="2CBABAE8" w14:textId="77777777" w:rsidR="007E09CB" w:rsidRPr="005A0590" w:rsidRDefault="007E09CB" w:rsidP="00B4257D">
      <w:pPr>
        <w:pStyle w:val="ListParagraph"/>
        <w:ind w:left="0" w:firstLine="360"/>
        <w:jc w:val="both"/>
      </w:pPr>
    </w:p>
    <w:p w14:paraId="21B70502" w14:textId="04721E3D" w:rsidR="002959A4" w:rsidRPr="005A0590" w:rsidRDefault="002959A4" w:rsidP="00B4257D">
      <w:pPr>
        <w:pStyle w:val="ListParagraph"/>
        <w:ind w:left="0" w:firstLine="360"/>
        <w:jc w:val="both"/>
      </w:pPr>
      <w:r w:rsidRPr="005A0590">
        <w:t xml:space="preserve">4. </w:t>
      </w:r>
      <w:r w:rsidR="004F52CF" w:rsidRPr="005A0590">
        <w:t>For the purpose of the Regulations</w:t>
      </w:r>
      <w:r w:rsidRPr="005A0590">
        <w:t xml:space="preserve">: </w:t>
      </w:r>
    </w:p>
    <w:p w14:paraId="0547EA9B" w14:textId="2E61BC6C" w:rsidR="002959A4" w:rsidRPr="005A0590" w:rsidRDefault="002959A4" w:rsidP="00B4257D">
      <w:pPr>
        <w:pStyle w:val="ListParagraph"/>
        <w:ind w:left="0" w:firstLine="360"/>
        <w:jc w:val="both"/>
      </w:pPr>
      <w:r w:rsidRPr="005A0590">
        <w:t xml:space="preserve">4.1. </w:t>
      </w:r>
      <w:r w:rsidR="00782563" w:rsidRPr="005A0590">
        <w:rPr>
          <w:shd w:val="clear" w:color="auto" w:fill="FFFFFF"/>
        </w:rPr>
        <w:t xml:space="preserve">excluded non-monetary benefit shall be any non-monetary benefit other than information and research tools, if they relate to </w:t>
      </w:r>
      <w:r w:rsidR="00C618DF" w:rsidRPr="005A0590">
        <w:rPr>
          <w:shd w:val="clear" w:color="auto" w:fill="FFFFFF"/>
        </w:rPr>
        <w:t xml:space="preserve">the </w:t>
      </w:r>
      <w:r w:rsidR="00782563" w:rsidRPr="005A0590">
        <w:rPr>
          <w:shd w:val="clear" w:color="auto" w:fill="FFFFFF"/>
        </w:rPr>
        <w:t>CFD</w:t>
      </w:r>
      <w:r w:rsidRPr="005A0590">
        <w:t>;</w:t>
      </w:r>
    </w:p>
    <w:p w14:paraId="32FFFDB9" w14:textId="08E92F80" w:rsidR="002959A4" w:rsidRPr="005A0590" w:rsidRDefault="002959A4" w:rsidP="00B4257D">
      <w:pPr>
        <w:pStyle w:val="ListParagraph"/>
        <w:ind w:left="0" w:firstLine="360"/>
        <w:jc w:val="both"/>
      </w:pPr>
      <w:r w:rsidRPr="005A0590">
        <w:t xml:space="preserve">4.2. </w:t>
      </w:r>
      <w:r w:rsidR="00C618DF" w:rsidRPr="005A0590">
        <w:rPr>
          <w:shd w:val="clear" w:color="auto" w:fill="FFFFFF"/>
        </w:rPr>
        <w:t xml:space="preserve">initial margin shall be any payment for the purpose of entering into </w:t>
      </w:r>
      <w:r w:rsidR="007F48A9" w:rsidRPr="005A0590">
        <w:rPr>
          <w:shd w:val="clear" w:color="auto" w:fill="FFFFFF"/>
        </w:rPr>
        <w:t>the</w:t>
      </w:r>
      <w:r w:rsidR="00C618DF" w:rsidRPr="005A0590">
        <w:rPr>
          <w:shd w:val="clear" w:color="auto" w:fill="FFFFFF"/>
        </w:rPr>
        <w:t xml:space="preserve"> CFD, excluding commission, transaction fees and any other related costs</w:t>
      </w:r>
      <w:r w:rsidRPr="005A0590">
        <w:t>;</w:t>
      </w:r>
    </w:p>
    <w:p w14:paraId="21B56BA4" w14:textId="37F2CC29" w:rsidR="002959A4" w:rsidRPr="005A0590" w:rsidRDefault="002959A4" w:rsidP="00B4257D">
      <w:pPr>
        <w:pStyle w:val="ListParagraph"/>
        <w:ind w:left="0" w:firstLine="360"/>
        <w:jc w:val="both"/>
      </w:pPr>
      <w:r w:rsidRPr="005A0590">
        <w:t xml:space="preserve">4.3. </w:t>
      </w:r>
      <w:r w:rsidR="00E0234C" w:rsidRPr="005A0590">
        <w:rPr>
          <w:shd w:val="clear" w:color="auto" w:fill="FFFFFF"/>
        </w:rPr>
        <w:t>initial margin protection shall be the initial margin determined by Annex I</w:t>
      </w:r>
      <w:r w:rsidRPr="005A0590">
        <w:t>;</w:t>
      </w:r>
    </w:p>
    <w:p w14:paraId="47EF265A" w14:textId="10C34528" w:rsidR="002959A4" w:rsidRPr="005A0590" w:rsidRDefault="00393BBC" w:rsidP="00B4257D">
      <w:pPr>
        <w:pStyle w:val="ListParagraph"/>
        <w:ind w:left="0" w:firstLine="360"/>
        <w:jc w:val="both"/>
      </w:pPr>
      <w:r w:rsidRPr="005A0590">
        <w:t xml:space="preserve">4.4. </w:t>
      </w:r>
      <w:r w:rsidR="006C1670" w:rsidRPr="005A0590">
        <w:rPr>
          <w:shd w:val="clear" w:color="auto" w:fill="FFFFFF"/>
        </w:rPr>
        <w:t xml:space="preserve">margin close-out protection shall mean the closure of one or more of a retail client's open CFDs on terms most favourable to the client in accordance with Sections </w:t>
      </w:r>
      <w:r w:rsidR="006C1670" w:rsidRPr="005A0590">
        <w:t>128., 128.</w:t>
      </w:r>
      <w:r w:rsidR="006C1670" w:rsidRPr="005A0590">
        <w:rPr>
          <w:vertAlign w:val="superscript"/>
        </w:rPr>
        <w:t xml:space="preserve">2 </w:t>
      </w:r>
      <w:r w:rsidR="006C1670" w:rsidRPr="005A0590">
        <w:t>and 128.</w:t>
      </w:r>
      <w:r w:rsidR="006C1670" w:rsidRPr="005A0590">
        <w:rPr>
          <w:vertAlign w:val="superscript"/>
        </w:rPr>
        <w:t xml:space="preserve">3 </w:t>
      </w:r>
      <w:r w:rsidR="006C1670" w:rsidRPr="005A0590">
        <w:rPr>
          <w:shd w:val="clear" w:color="auto" w:fill="FFFFFF"/>
        </w:rPr>
        <w:t>of the Law on the Financial Instruments Market (hereinafter – the LFIM) when the sum of funds in the CFD trading account and the unrealised net profits of all open CFDs</w:t>
      </w:r>
      <w:r w:rsidR="00E46F93" w:rsidRPr="005A0590">
        <w:rPr>
          <w:shd w:val="clear" w:color="auto" w:fill="FFFFFF"/>
        </w:rPr>
        <w:t xml:space="preserve"> connected to that account fall</w:t>
      </w:r>
      <w:r w:rsidR="00164A21" w:rsidRPr="005A0590">
        <w:rPr>
          <w:shd w:val="clear" w:color="auto" w:fill="FFFFFF"/>
        </w:rPr>
        <w:t>s</w:t>
      </w:r>
      <w:r w:rsidR="006C1670" w:rsidRPr="005A0590">
        <w:rPr>
          <w:shd w:val="clear" w:color="auto" w:fill="FFFFFF"/>
        </w:rPr>
        <w:t xml:space="preserve"> to less than half of the total initial margin protection for all those open CFDs</w:t>
      </w:r>
      <w:r w:rsidR="002959A4" w:rsidRPr="005A0590">
        <w:t>;</w:t>
      </w:r>
    </w:p>
    <w:p w14:paraId="3C9F383E" w14:textId="4BFD6249" w:rsidR="002959A4" w:rsidRPr="005A0590" w:rsidRDefault="00393BBC" w:rsidP="00B4257D">
      <w:pPr>
        <w:pStyle w:val="ListParagraph"/>
        <w:ind w:left="0" w:firstLine="360"/>
        <w:jc w:val="both"/>
      </w:pPr>
      <w:r w:rsidRPr="005A0590">
        <w:t xml:space="preserve">4.5. </w:t>
      </w:r>
      <w:r w:rsidR="00B538B3" w:rsidRPr="005A0590">
        <w:rPr>
          <w:shd w:val="clear" w:color="auto" w:fill="FFFFFF"/>
        </w:rPr>
        <w:t>negative balance protection</w:t>
      </w:r>
      <w:r w:rsidR="00570CBC" w:rsidRPr="005A0590">
        <w:rPr>
          <w:shd w:val="clear" w:color="auto" w:fill="FFFFFF"/>
        </w:rPr>
        <w:t xml:space="preserve"> shall be the limit of a retail client's aggregate liabi</w:t>
      </w:r>
      <w:r w:rsidR="00164A21" w:rsidRPr="005A0590">
        <w:rPr>
          <w:shd w:val="clear" w:color="auto" w:fill="FFFFFF"/>
        </w:rPr>
        <w:t>lity for all CFDs connected to the</w:t>
      </w:r>
      <w:r w:rsidR="00570CBC" w:rsidRPr="005A0590">
        <w:rPr>
          <w:shd w:val="clear" w:color="auto" w:fill="FFFFFF"/>
        </w:rPr>
        <w:t xml:space="preserve"> CFD trading account with a CFD provider to the funds in that CFD trading account</w:t>
      </w:r>
      <w:r w:rsidR="00574479" w:rsidRPr="005A0590">
        <w:t>;</w:t>
      </w:r>
    </w:p>
    <w:p w14:paraId="433D6B6E" w14:textId="569371BC" w:rsidR="00062395" w:rsidRPr="005A0590" w:rsidRDefault="00062395" w:rsidP="00B4257D">
      <w:pPr>
        <w:pStyle w:val="ListParagraph"/>
        <w:ind w:left="0" w:firstLine="360"/>
        <w:jc w:val="both"/>
      </w:pPr>
      <w:r w:rsidRPr="005A0590">
        <w:t xml:space="preserve">4.6. </w:t>
      </w:r>
      <w:r w:rsidR="009C55CD" w:rsidRPr="005A0590">
        <w:t>a retail client shall be any client that has not been recognised as a professional client in accordance</w:t>
      </w:r>
      <w:r w:rsidR="00164A21" w:rsidRPr="005A0590">
        <w:t xml:space="preserve"> with</w:t>
      </w:r>
      <w:r w:rsidR="009C55CD" w:rsidRPr="005A0590">
        <w:t xml:space="preserve"> </w:t>
      </w:r>
      <w:r w:rsidR="00164A21" w:rsidRPr="005A0590">
        <w:t xml:space="preserve">the </w:t>
      </w:r>
      <w:r w:rsidR="009C55CD" w:rsidRPr="005A0590">
        <w:t xml:space="preserve">requirements of Section </w:t>
      </w:r>
      <w:r w:rsidRPr="005A0590">
        <w:t>124.</w:t>
      </w:r>
      <w:r w:rsidRPr="005A0590">
        <w:rPr>
          <w:vertAlign w:val="superscript"/>
        </w:rPr>
        <w:t>1</w:t>
      </w:r>
      <w:r w:rsidRPr="005A0590">
        <w:t xml:space="preserve"> </w:t>
      </w:r>
      <w:r w:rsidR="009C55CD" w:rsidRPr="005A0590">
        <w:t xml:space="preserve">of LFIM or as an eligible counterparty in accordance with the requirements of Section </w:t>
      </w:r>
      <w:r w:rsidR="00717159" w:rsidRPr="005A0590">
        <w:t>124.</w:t>
      </w:r>
      <w:r w:rsidR="00717159" w:rsidRPr="005A0590">
        <w:rPr>
          <w:vertAlign w:val="superscript"/>
        </w:rPr>
        <w:t>2</w:t>
      </w:r>
      <w:r w:rsidR="00717159" w:rsidRPr="005A0590">
        <w:t xml:space="preserve"> </w:t>
      </w:r>
      <w:r w:rsidR="009C55CD" w:rsidRPr="005A0590">
        <w:t>of LFIM</w:t>
      </w:r>
      <w:r w:rsidR="00574479" w:rsidRPr="005A0590">
        <w:t>;</w:t>
      </w:r>
    </w:p>
    <w:p w14:paraId="264F2AB0" w14:textId="5020633A" w:rsidR="00062395" w:rsidRPr="005A0590" w:rsidRDefault="00062395" w:rsidP="00B4257D">
      <w:pPr>
        <w:pStyle w:val="ListParagraph"/>
        <w:ind w:left="0" w:firstLine="360"/>
        <w:jc w:val="both"/>
      </w:pPr>
      <w:r w:rsidRPr="005A0590">
        <w:t xml:space="preserve">4.7. </w:t>
      </w:r>
      <w:r w:rsidR="009C55CD" w:rsidRPr="005A0590">
        <w:t>other terms used in the Regulations shall conform to the terminology used in the LFIM</w:t>
      </w:r>
      <w:r w:rsidRPr="005A0590">
        <w:t>.</w:t>
      </w:r>
    </w:p>
    <w:p w14:paraId="46255F9A" w14:textId="77777777" w:rsidR="008E1E5C" w:rsidRPr="005A0590" w:rsidRDefault="008E1E5C" w:rsidP="00B4257D">
      <w:pPr>
        <w:pStyle w:val="ListParagraph"/>
        <w:tabs>
          <w:tab w:val="left" w:pos="720"/>
          <w:tab w:val="left" w:pos="900"/>
        </w:tabs>
        <w:ind w:left="0" w:firstLine="360"/>
        <w:jc w:val="both"/>
        <w:rPr>
          <w:b/>
          <w:lang w:val="lv-LV"/>
        </w:rPr>
      </w:pPr>
    </w:p>
    <w:p w14:paraId="22D18398" w14:textId="3601076E" w:rsidR="008040A3" w:rsidRPr="005A0590" w:rsidRDefault="00FB13C9" w:rsidP="00B4257D">
      <w:pPr>
        <w:pStyle w:val="Default"/>
        <w:jc w:val="center"/>
        <w:rPr>
          <w:rFonts w:ascii="Times New Roman" w:hAnsi="Times New Roman" w:cs="Times New Roman"/>
          <w:b/>
          <w:color w:val="auto"/>
          <w:sz w:val="26"/>
          <w:szCs w:val="26"/>
          <w:lang w:eastAsia="en-US"/>
        </w:rPr>
      </w:pPr>
      <w:r w:rsidRPr="005A0590">
        <w:rPr>
          <w:rFonts w:ascii="Times New Roman" w:hAnsi="Times New Roman" w:cs="Times New Roman"/>
          <w:b/>
          <w:color w:val="auto"/>
          <w:sz w:val="26"/>
          <w:szCs w:val="26"/>
          <w:lang w:eastAsia="en-US"/>
        </w:rPr>
        <w:tab/>
      </w:r>
      <w:r w:rsidR="00F076B9" w:rsidRPr="005A0590">
        <w:rPr>
          <w:rFonts w:ascii="Times New Roman" w:hAnsi="Times New Roman" w:cs="Times New Roman"/>
          <w:b/>
          <w:color w:val="auto"/>
          <w:sz w:val="26"/>
          <w:szCs w:val="26"/>
          <w:lang w:eastAsia="en-US"/>
        </w:rPr>
        <w:t xml:space="preserve">II. </w:t>
      </w:r>
      <w:r w:rsidR="004700F9" w:rsidRPr="005A0590">
        <w:rPr>
          <w:rFonts w:ascii="Times New Roman" w:hAnsi="Times New Roman" w:cs="Times New Roman"/>
          <w:b/>
          <w:color w:val="auto"/>
          <w:sz w:val="26"/>
          <w:szCs w:val="26"/>
          <w:lang w:eastAsia="en-US"/>
        </w:rPr>
        <w:t>Restrictions on offe</w:t>
      </w:r>
      <w:r w:rsidR="00890BB5" w:rsidRPr="005A0590">
        <w:rPr>
          <w:rFonts w:ascii="Times New Roman" w:hAnsi="Times New Roman" w:cs="Times New Roman"/>
          <w:b/>
          <w:color w:val="auto"/>
          <w:sz w:val="26"/>
          <w:szCs w:val="26"/>
          <w:lang w:eastAsia="en-US"/>
        </w:rPr>
        <w:t xml:space="preserve">ring </w:t>
      </w:r>
      <w:r w:rsidR="004700F9" w:rsidRPr="005A0590">
        <w:rPr>
          <w:rFonts w:ascii="Times New Roman" w:hAnsi="Times New Roman" w:cs="Times New Roman"/>
          <w:b/>
          <w:color w:val="auto"/>
          <w:sz w:val="26"/>
          <w:szCs w:val="26"/>
          <w:lang w:eastAsia="en-US"/>
        </w:rPr>
        <w:t xml:space="preserve">the </w:t>
      </w:r>
      <w:r w:rsidR="00B407D7" w:rsidRPr="005A0590">
        <w:rPr>
          <w:rFonts w:ascii="Times New Roman" w:hAnsi="Times New Roman" w:cs="Times New Roman"/>
          <w:b/>
          <w:color w:val="auto"/>
          <w:sz w:val="26"/>
          <w:szCs w:val="26"/>
          <w:lang w:eastAsia="en-US"/>
        </w:rPr>
        <w:t xml:space="preserve">CFD </w:t>
      </w:r>
      <w:r w:rsidR="00890BB5" w:rsidRPr="005A0590">
        <w:rPr>
          <w:rFonts w:ascii="Times New Roman" w:hAnsi="Times New Roman" w:cs="Times New Roman"/>
          <w:b/>
          <w:color w:val="auto"/>
          <w:sz w:val="26"/>
          <w:szCs w:val="26"/>
          <w:lang w:eastAsia="en-US"/>
        </w:rPr>
        <w:t xml:space="preserve">to retail clients </w:t>
      </w:r>
    </w:p>
    <w:p w14:paraId="5AB2203B" w14:textId="28A7432B" w:rsidR="00ED1534" w:rsidRPr="005A0590" w:rsidRDefault="00FB13C9" w:rsidP="00B4257D">
      <w:pPr>
        <w:pStyle w:val="Default"/>
        <w:tabs>
          <w:tab w:val="left" w:pos="8182"/>
        </w:tabs>
        <w:rPr>
          <w:b/>
        </w:rPr>
      </w:pPr>
      <w:r w:rsidRPr="005A0590">
        <w:rPr>
          <w:b/>
        </w:rPr>
        <w:tab/>
      </w:r>
    </w:p>
    <w:p w14:paraId="7E8B523E" w14:textId="2D066F68" w:rsidR="00163EC9" w:rsidRPr="005A0590" w:rsidRDefault="004633AB" w:rsidP="00B4257D">
      <w:pPr>
        <w:pStyle w:val="ListParagraph"/>
        <w:ind w:left="0" w:firstLine="360"/>
        <w:jc w:val="both"/>
      </w:pPr>
      <w:r w:rsidRPr="005A0590">
        <w:t>5</w:t>
      </w:r>
      <w:r w:rsidR="00ED1534" w:rsidRPr="005A0590">
        <w:t>.</w:t>
      </w:r>
      <w:r w:rsidR="00835FC3" w:rsidRPr="005A0590">
        <w:t xml:space="preserve"> </w:t>
      </w:r>
      <w:r w:rsidR="00E42F2B" w:rsidRPr="005A0590">
        <w:t xml:space="preserve">The </w:t>
      </w:r>
      <w:r w:rsidR="00163EC9" w:rsidRPr="005A0590">
        <w:t xml:space="preserve">CFD </w:t>
      </w:r>
      <w:r w:rsidR="00E42F2B" w:rsidRPr="005A0590">
        <w:t>may be offered to retail clients only in case all of the following conditions are met</w:t>
      </w:r>
      <w:r w:rsidR="00163EC9" w:rsidRPr="005A0590">
        <w:t>:</w:t>
      </w:r>
    </w:p>
    <w:p w14:paraId="41DF1A6C" w14:textId="624D9164" w:rsidR="00163EC9" w:rsidRPr="005A0590" w:rsidRDefault="00163EC9" w:rsidP="00B4257D">
      <w:pPr>
        <w:pStyle w:val="ListParagraph"/>
        <w:ind w:left="0" w:firstLine="360"/>
        <w:jc w:val="both"/>
      </w:pPr>
      <w:r w:rsidRPr="005A0590">
        <w:t xml:space="preserve">5.1. </w:t>
      </w:r>
      <w:r w:rsidR="00E42F2B" w:rsidRPr="005A0590">
        <w:rPr>
          <w:shd w:val="clear" w:color="auto" w:fill="FFFFFF"/>
        </w:rPr>
        <w:t> the CFD provider shall require the retail client to pay the initial margin protection</w:t>
      </w:r>
      <w:r w:rsidRPr="005A0590">
        <w:t>;</w:t>
      </w:r>
    </w:p>
    <w:p w14:paraId="27056B7D" w14:textId="2F55F940" w:rsidR="00163EC9" w:rsidRPr="005A0590" w:rsidRDefault="00163EC9" w:rsidP="00B4257D">
      <w:pPr>
        <w:pStyle w:val="ListParagraph"/>
        <w:ind w:left="0" w:firstLine="360"/>
        <w:jc w:val="both"/>
      </w:pPr>
      <w:r w:rsidRPr="005A0590">
        <w:t xml:space="preserve">5.2. </w:t>
      </w:r>
      <w:r w:rsidR="00E42F2B" w:rsidRPr="005A0590">
        <w:rPr>
          <w:shd w:val="clear" w:color="auto" w:fill="FFFFFF"/>
        </w:rPr>
        <w:t>the CFD provider</w:t>
      </w:r>
      <w:r w:rsidR="00A8682F" w:rsidRPr="005A0590">
        <w:rPr>
          <w:shd w:val="clear" w:color="auto" w:fill="FFFFFF"/>
        </w:rPr>
        <w:t xml:space="preserve"> shall</w:t>
      </w:r>
      <w:r w:rsidR="00E42F2B" w:rsidRPr="005A0590">
        <w:rPr>
          <w:shd w:val="clear" w:color="auto" w:fill="FFFFFF"/>
        </w:rPr>
        <w:t xml:space="preserve"> provide the retail client with the margin close-out protection</w:t>
      </w:r>
      <w:r w:rsidRPr="005A0590">
        <w:t>;</w:t>
      </w:r>
    </w:p>
    <w:p w14:paraId="15F9747A" w14:textId="6086C60D" w:rsidR="00163EC9" w:rsidRPr="005A0590" w:rsidRDefault="00163EC9" w:rsidP="00B4257D">
      <w:pPr>
        <w:pStyle w:val="ListParagraph"/>
        <w:ind w:left="0" w:firstLine="360"/>
        <w:jc w:val="both"/>
      </w:pPr>
      <w:r w:rsidRPr="005A0590">
        <w:t xml:space="preserve">5.3. </w:t>
      </w:r>
      <w:r w:rsidR="00A8682F" w:rsidRPr="005A0590">
        <w:rPr>
          <w:shd w:val="clear" w:color="auto" w:fill="FFFFFF"/>
        </w:rPr>
        <w:t> the CFD provider</w:t>
      </w:r>
      <w:r w:rsidR="004700F9" w:rsidRPr="005A0590">
        <w:rPr>
          <w:shd w:val="clear" w:color="auto" w:fill="FFFFFF"/>
        </w:rPr>
        <w:t xml:space="preserve"> </w:t>
      </w:r>
      <w:r w:rsidR="00A8682F" w:rsidRPr="005A0590">
        <w:rPr>
          <w:shd w:val="clear" w:color="auto" w:fill="FFFFFF"/>
        </w:rPr>
        <w:t>shall  provide the retail client with the negative balance protection;</w:t>
      </w:r>
      <w:r w:rsidR="00A8682F" w:rsidRPr="005A0590">
        <w:t xml:space="preserve"> </w:t>
      </w:r>
    </w:p>
    <w:p w14:paraId="1DF62C89" w14:textId="5209528F" w:rsidR="00163EC9" w:rsidRPr="005A0590" w:rsidRDefault="00163EC9" w:rsidP="00B4257D">
      <w:pPr>
        <w:pStyle w:val="ListParagraph"/>
        <w:ind w:left="0" w:firstLine="360"/>
        <w:jc w:val="both"/>
      </w:pPr>
      <w:r w:rsidRPr="005A0590">
        <w:t xml:space="preserve">5.4. </w:t>
      </w:r>
      <w:r w:rsidR="00EE1FEE" w:rsidRPr="005A0590">
        <w:rPr>
          <w:shd w:val="clear" w:color="auto" w:fill="FFFFFF"/>
        </w:rPr>
        <w:t xml:space="preserve">the CFD provider shall not directly or indirectly provide the retail client with a payment, monetary or excluded non-monetary benefit in relation to the marketing, distribution </w:t>
      </w:r>
      <w:r w:rsidR="000F0F2C">
        <w:rPr>
          <w:shd w:val="clear" w:color="auto" w:fill="FFFFFF"/>
        </w:rPr>
        <w:t>and</w:t>
      </w:r>
      <w:r w:rsidR="00EE1FEE" w:rsidRPr="005A0590">
        <w:rPr>
          <w:shd w:val="clear" w:color="auto" w:fill="FFFFFF"/>
        </w:rPr>
        <w:t xml:space="preserve"> sale of a CFD, other than the realised profits on any CFD provided</w:t>
      </w:r>
      <w:r w:rsidR="00EE1FEE" w:rsidRPr="005A0590">
        <w:t xml:space="preserve"> </w:t>
      </w:r>
      <w:r w:rsidRPr="005A0590">
        <w:t>CFD;</w:t>
      </w:r>
    </w:p>
    <w:p w14:paraId="081750CD" w14:textId="40CB1E41" w:rsidR="00163EC9" w:rsidRPr="005A0590" w:rsidRDefault="00163EC9" w:rsidP="00B4257D">
      <w:pPr>
        <w:pStyle w:val="ListParagraph"/>
        <w:ind w:left="0" w:firstLine="360"/>
        <w:jc w:val="both"/>
      </w:pPr>
      <w:r w:rsidRPr="005A0590">
        <w:t xml:space="preserve">5.5. </w:t>
      </w:r>
      <w:r w:rsidR="00075757" w:rsidRPr="005A0590">
        <w:rPr>
          <w:shd w:val="clear" w:color="auto" w:fill="FFFFFF"/>
        </w:rPr>
        <w:t xml:space="preserve">the CFD provider shall not send directly or indirectly a communication to or publish information accessible by a retail client relating to the marketing, distribution </w:t>
      </w:r>
      <w:r w:rsidR="000F0F2C">
        <w:rPr>
          <w:shd w:val="clear" w:color="auto" w:fill="FFFFFF"/>
        </w:rPr>
        <w:t>and</w:t>
      </w:r>
      <w:r w:rsidR="00075757" w:rsidRPr="005A0590">
        <w:rPr>
          <w:shd w:val="clear" w:color="auto" w:fill="FFFFFF"/>
        </w:rPr>
        <w:t xml:space="preserve"> sale of a CFD unless it includes the appropriate risk warning specified by and complying with the conditions in Annex II</w:t>
      </w:r>
      <w:r w:rsidRPr="005A0590">
        <w:t>.</w:t>
      </w:r>
    </w:p>
    <w:p w14:paraId="01837176" w14:textId="77777777" w:rsidR="00163EC9" w:rsidRPr="005A0590" w:rsidRDefault="00163EC9" w:rsidP="00B4257D">
      <w:pPr>
        <w:pStyle w:val="ListParagraph"/>
        <w:ind w:left="0" w:firstLine="360"/>
        <w:jc w:val="both"/>
      </w:pPr>
    </w:p>
    <w:p w14:paraId="2AA47D0E" w14:textId="3BCB5544" w:rsidR="008040A3" w:rsidRPr="005A0590" w:rsidRDefault="00163EC9" w:rsidP="00B4257D">
      <w:pPr>
        <w:pStyle w:val="ListParagraph"/>
        <w:ind w:left="0" w:firstLine="360"/>
        <w:jc w:val="both"/>
      </w:pPr>
      <w:r w:rsidRPr="005A0590">
        <w:t xml:space="preserve">6. </w:t>
      </w:r>
      <w:r w:rsidR="00C979A8" w:rsidRPr="005A0590">
        <w:rPr>
          <w:shd w:val="clear" w:color="auto" w:fill="FFFFFF"/>
        </w:rPr>
        <w:t xml:space="preserve">It shall be prohibited to participate, knowingly and intentionally, in activities the object or effect of which is to circumvent the requirements laid down in </w:t>
      </w:r>
      <w:r w:rsidR="00C767FD" w:rsidRPr="005A0590">
        <w:rPr>
          <w:shd w:val="clear" w:color="auto" w:fill="FFFFFF"/>
        </w:rPr>
        <w:t>Paragraph</w:t>
      </w:r>
      <w:r w:rsidR="00C979A8" w:rsidRPr="005A0590">
        <w:rPr>
          <w:shd w:val="clear" w:color="auto" w:fill="FFFFFF"/>
        </w:rPr>
        <w:t xml:space="preserve"> 5, including by acting as a substitute for the CFD provider</w:t>
      </w:r>
      <w:r w:rsidRPr="005A0590">
        <w:t>.</w:t>
      </w:r>
    </w:p>
    <w:p w14:paraId="035E5CFB" w14:textId="77777777" w:rsidR="00517F2D" w:rsidRPr="005A0590" w:rsidRDefault="00517F2D" w:rsidP="00B4257D">
      <w:pPr>
        <w:pStyle w:val="ListParagraph"/>
        <w:ind w:left="0" w:firstLine="360"/>
        <w:jc w:val="both"/>
        <w:rPr>
          <w:lang w:val="lv-LV"/>
        </w:rPr>
      </w:pPr>
    </w:p>
    <w:p w14:paraId="5621AE76" w14:textId="76B4AF7A" w:rsidR="00393BBC" w:rsidRPr="005A0590" w:rsidRDefault="003E0238" w:rsidP="00B4257D">
      <w:pPr>
        <w:jc w:val="center"/>
        <w:rPr>
          <w:b/>
          <w:sz w:val="26"/>
          <w:szCs w:val="26"/>
          <w:lang w:val="lv-LV"/>
        </w:rPr>
      </w:pPr>
      <w:r w:rsidRPr="005A0590">
        <w:rPr>
          <w:b/>
          <w:sz w:val="26"/>
          <w:szCs w:val="26"/>
          <w:lang w:val="lv-LV"/>
        </w:rPr>
        <w:t>I</w:t>
      </w:r>
      <w:r w:rsidR="00740AAE" w:rsidRPr="005A0590">
        <w:rPr>
          <w:b/>
          <w:sz w:val="26"/>
          <w:szCs w:val="26"/>
          <w:lang w:val="lv-LV"/>
        </w:rPr>
        <w:t>II</w:t>
      </w:r>
      <w:r w:rsidRPr="005A0590">
        <w:rPr>
          <w:b/>
          <w:sz w:val="26"/>
          <w:szCs w:val="26"/>
          <w:lang w:val="lv-LV"/>
        </w:rPr>
        <w:t xml:space="preserve">. </w:t>
      </w:r>
      <w:r w:rsidR="0043109C" w:rsidRPr="005A0590">
        <w:rPr>
          <w:b/>
          <w:sz w:val="26"/>
          <w:szCs w:val="26"/>
        </w:rPr>
        <w:t>P</w:t>
      </w:r>
      <w:r w:rsidR="00D2781E" w:rsidRPr="005A0590">
        <w:rPr>
          <w:b/>
          <w:sz w:val="26"/>
          <w:szCs w:val="26"/>
        </w:rPr>
        <w:t xml:space="preserve">rohibition </w:t>
      </w:r>
      <w:r w:rsidR="0043109C" w:rsidRPr="005A0590">
        <w:rPr>
          <w:b/>
          <w:sz w:val="26"/>
          <w:szCs w:val="26"/>
        </w:rPr>
        <w:t xml:space="preserve">on </w:t>
      </w:r>
      <w:r w:rsidR="00FA2CB7" w:rsidRPr="005A0590">
        <w:rPr>
          <w:b/>
          <w:sz w:val="26"/>
          <w:szCs w:val="26"/>
        </w:rPr>
        <w:t xml:space="preserve">offering the BO to retail clients </w:t>
      </w:r>
    </w:p>
    <w:p w14:paraId="652EB992" w14:textId="77777777" w:rsidR="00E402B1" w:rsidRPr="005A0590" w:rsidRDefault="00E402B1" w:rsidP="00B4257D">
      <w:pPr>
        <w:jc w:val="both"/>
        <w:rPr>
          <w:lang w:val="lv-LV"/>
        </w:rPr>
      </w:pPr>
    </w:p>
    <w:p w14:paraId="4C921052" w14:textId="1545BC35" w:rsidR="00034E26" w:rsidRPr="005A0590" w:rsidRDefault="004A467D" w:rsidP="00B4257D">
      <w:pPr>
        <w:pStyle w:val="ListParagraph"/>
        <w:ind w:left="0" w:firstLine="360"/>
        <w:jc w:val="both"/>
        <w:rPr>
          <w:lang w:val="lv-LV"/>
        </w:rPr>
      </w:pPr>
      <w:r w:rsidRPr="005A0590">
        <w:rPr>
          <w:lang w:val="lv-LV"/>
        </w:rPr>
        <w:t>7</w:t>
      </w:r>
      <w:r w:rsidR="002302CD" w:rsidRPr="005A0590">
        <w:rPr>
          <w:lang w:val="lv-LV"/>
        </w:rPr>
        <w:t xml:space="preserve">. </w:t>
      </w:r>
      <w:r w:rsidR="0043109C" w:rsidRPr="005A0590">
        <w:rPr>
          <w:lang w:val="lv-LV"/>
        </w:rPr>
        <w:t xml:space="preserve">The offering of the </w:t>
      </w:r>
      <w:r w:rsidR="00213045" w:rsidRPr="005A0590">
        <w:rPr>
          <w:lang w:val="lv-LV"/>
        </w:rPr>
        <w:t>BO</w:t>
      </w:r>
      <w:r w:rsidR="005B482D" w:rsidRPr="005A0590">
        <w:rPr>
          <w:lang w:val="lv-LV"/>
        </w:rPr>
        <w:t xml:space="preserve"> </w:t>
      </w:r>
      <w:r w:rsidR="0043109C" w:rsidRPr="005A0590">
        <w:rPr>
          <w:lang w:val="lv-LV"/>
        </w:rPr>
        <w:t>to retail clients shall be prohibited</w:t>
      </w:r>
      <w:r w:rsidR="005B482D" w:rsidRPr="005A0590">
        <w:rPr>
          <w:lang w:val="lv-LV"/>
        </w:rPr>
        <w:t>.</w:t>
      </w:r>
    </w:p>
    <w:p w14:paraId="1A89046A" w14:textId="77777777" w:rsidR="00182CB9" w:rsidRPr="005A0590" w:rsidRDefault="00182CB9" w:rsidP="00B4257D">
      <w:pPr>
        <w:pStyle w:val="ListParagraph"/>
        <w:ind w:left="0" w:firstLine="360"/>
        <w:jc w:val="both"/>
        <w:rPr>
          <w:lang w:val="lv-LV"/>
        </w:rPr>
      </w:pPr>
    </w:p>
    <w:p w14:paraId="157B1C32" w14:textId="2F51EC29" w:rsidR="005B482D" w:rsidRPr="005A0590" w:rsidRDefault="005B482D" w:rsidP="00E84CC3">
      <w:pPr>
        <w:pStyle w:val="ListParagraph"/>
        <w:ind w:left="0" w:firstLine="360"/>
        <w:jc w:val="both"/>
        <w:rPr>
          <w:lang w:val="lv-LV"/>
        </w:rPr>
      </w:pPr>
      <w:r w:rsidRPr="005A0590">
        <w:rPr>
          <w:lang w:val="lv-LV"/>
        </w:rPr>
        <w:t xml:space="preserve">8. </w:t>
      </w:r>
      <w:r w:rsidR="009C1D52" w:rsidRPr="005A0590">
        <w:rPr>
          <w:lang w:val="lv-LV"/>
        </w:rPr>
        <w:t>F</w:t>
      </w:r>
      <w:r w:rsidR="009C1D52" w:rsidRPr="005A0590">
        <w:rPr>
          <w:shd w:val="clear" w:color="auto" w:fill="FFFFFF"/>
        </w:rPr>
        <w:t>or the purposes of Paragraph 7 of the Regulations, irrespective of whether it is traded on a trading venue, a binary option is a derivative that meets the following conditions</w:t>
      </w:r>
      <w:r w:rsidRPr="005A0590">
        <w:rPr>
          <w:lang w:val="lv-LV"/>
        </w:rPr>
        <w:t>:</w:t>
      </w:r>
    </w:p>
    <w:p w14:paraId="2EF55ACB" w14:textId="0B6B70FD" w:rsidR="005B482D" w:rsidRPr="005A0590" w:rsidRDefault="00E84CC3" w:rsidP="00E84CC3">
      <w:pPr>
        <w:pStyle w:val="ListParagraph"/>
        <w:ind w:left="0" w:firstLine="360"/>
        <w:jc w:val="both"/>
        <w:rPr>
          <w:lang w:val="lv-LV"/>
        </w:rPr>
      </w:pPr>
      <w:r w:rsidRPr="005A0590">
        <w:rPr>
          <w:lang w:val="lv-LV"/>
        </w:rPr>
        <w:lastRenderedPageBreak/>
        <w:t xml:space="preserve">8.1. </w:t>
      </w:r>
      <w:r w:rsidR="003B32A8" w:rsidRPr="005A0590">
        <w:rPr>
          <w:shd w:val="clear" w:color="auto" w:fill="FFFFFF"/>
        </w:rPr>
        <w:t>it must be settled in cash or may be settled in cash at the option of one of the parties other than by reason of default or other termination event</w:t>
      </w:r>
      <w:r w:rsidR="005B482D" w:rsidRPr="005A0590">
        <w:rPr>
          <w:lang w:val="lv-LV"/>
        </w:rPr>
        <w:t>;</w:t>
      </w:r>
    </w:p>
    <w:p w14:paraId="15A8F32B" w14:textId="5F6B113D" w:rsidR="005B482D" w:rsidRPr="005A0590" w:rsidRDefault="00E84CC3" w:rsidP="00E84CC3">
      <w:pPr>
        <w:pStyle w:val="ListParagraph"/>
        <w:ind w:left="0" w:firstLine="360"/>
        <w:jc w:val="both"/>
        <w:rPr>
          <w:lang w:val="lv-LV"/>
        </w:rPr>
      </w:pPr>
      <w:r w:rsidRPr="005A0590">
        <w:rPr>
          <w:lang w:val="lv-LV"/>
        </w:rPr>
        <w:t>8.2.</w:t>
      </w:r>
      <w:r w:rsidR="00950499" w:rsidRPr="005A0590">
        <w:rPr>
          <w:lang w:val="lv-LV"/>
        </w:rPr>
        <w:t xml:space="preserve"> </w:t>
      </w:r>
      <w:r w:rsidR="003B32A8" w:rsidRPr="005A0590">
        <w:rPr>
          <w:rFonts w:ascii="Roboto" w:hAnsi="Roboto"/>
          <w:color w:val="444444"/>
          <w:sz w:val="20"/>
          <w:szCs w:val="20"/>
          <w:shd w:val="clear" w:color="auto" w:fill="FFFFFF"/>
        </w:rPr>
        <w:t> </w:t>
      </w:r>
      <w:r w:rsidR="003B32A8" w:rsidRPr="005A0590">
        <w:rPr>
          <w:shd w:val="clear" w:color="auto" w:fill="FFFFFF"/>
        </w:rPr>
        <w:t>it shall only provide for payment at its close-out or expiry</w:t>
      </w:r>
      <w:r w:rsidR="005B482D" w:rsidRPr="005A0590">
        <w:rPr>
          <w:lang w:val="lv-LV"/>
        </w:rPr>
        <w:t>;</w:t>
      </w:r>
    </w:p>
    <w:p w14:paraId="52F84819" w14:textId="2888256F" w:rsidR="00950499" w:rsidRPr="005A0590" w:rsidRDefault="00E84CC3" w:rsidP="00E84CC3">
      <w:pPr>
        <w:pStyle w:val="ListParagraph"/>
        <w:ind w:left="0" w:firstLine="360"/>
        <w:jc w:val="both"/>
        <w:rPr>
          <w:lang w:val="lv-LV"/>
        </w:rPr>
      </w:pPr>
      <w:r w:rsidRPr="005A0590">
        <w:rPr>
          <w:lang w:val="lv-LV"/>
        </w:rPr>
        <w:t>8.3. </w:t>
      </w:r>
      <w:r w:rsidR="003B32A8" w:rsidRPr="005A0590">
        <w:rPr>
          <w:shd w:val="clear" w:color="auto" w:fill="FFFFFF"/>
        </w:rPr>
        <w:t>its payment is limited to</w:t>
      </w:r>
      <w:r w:rsidR="003B32A8" w:rsidRPr="005A0590">
        <w:rPr>
          <w:lang w:val="lv-LV"/>
        </w:rPr>
        <w:t xml:space="preserve"> </w:t>
      </w:r>
      <w:r w:rsidR="003B32A8" w:rsidRPr="005A0590">
        <w:rPr>
          <w:shd w:val="clear" w:color="auto" w:fill="FFFFFF"/>
        </w:rPr>
        <w:t>a predetermined fixed amount or zero if the underlying of the BO meets or does not meet one or more predetermined conditions</w:t>
      </w:r>
      <w:r w:rsidR="00B019B8" w:rsidRPr="005A0590">
        <w:rPr>
          <w:lang w:val="lv-LV"/>
        </w:rPr>
        <w:t>.</w:t>
      </w:r>
    </w:p>
    <w:p w14:paraId="11922764" w14:textId="77777777" w:rsidR="00AF29CF" w:rsidRPr="005A0590" w:rsidRDefault="00AF29CF" w:rsidP="00E84CC3">
      <w:pPr>
        <w:ind w:firstLine="360"/>
        <w:rPr>
          <w:sz w:val="28"/>
          <w:szCs w:val="28"/>
          <w:lang w:val="lv-LV"/>
        </w:rPr>
      </w:pPr>
    </w:p>
    <w:p w14:paraId="2EFDE765" w14:textId="4A5AB465" w:rsidR="00950499" w:rsidRPr="005A0590" w:rsidRDefault="00950499" w:rsidP="00E84CC3">
      <w:pPr>
        <w:pStyle w:val="ListParagraph"/>
        <w:ind w:left="0" w:firstLine="360"/>
        <w:jc w:val="both"/>
        <w:rPr>
          <w:lang w:val="lv-LV"/>
        </w:rPr>
      </w:pPr>
      <w:r w:rsidRPr="005A0590">
        <w:rPr>
          <w:lang w:val="lv-LV"/>
        </w:rPr>
        <w:t xml:space="preserve">9. </w:t>
      </w:r>
      <w:r w:rsidR="00BF0DE6" w:rsidRPr="005A0590">
        <w:rPr>
          <w:lang w:val="lv-LV"/>
        </w:rPr>
        <w:t xml:space="preserve">The </w:t>
      </w:r>
      <w:r w:rsidR="006A45E1" w:rsidRPr="005A0590">
        <w:rPr>
          <w:lang w:val="lv-LV"/>
        </w:rPr>
        <w:t>prohibit</w:t>
      </w:r>
      <w:r w:rsidR="00BF0DE6" w:rsidRPr="005A0590">
        <w:rPr>
          <w:lang w:val="lv-LV"/>
        </w:rPr>
        <w:t>on specified in Paragraph 7 of the Regulations shall not apply to</w:t>
      </w:r>
      <w:r w:rsidRPr="005A0590">
        <w:rPr>
          <w:lang w:val="lv-LV"/>
        </w:rPr>
        <w:t>:</w:t>
      </w:r>
    </w:p>
    <w:p w14:paraId="5DA2CCC8" w14:textId="0D9372B4" w:rsidR="00950499" w:rsidRPr="005A0590" w:rsidRDefault="00E84CC3" w:rsidP="00E84CC3">
      <w:pPr>
        <w:pStyle w:val="ListParagraph"/>
        <w:ind w:left="0" w:firstLine="360"/>
        <w:jc w:val="both"/>
        <w:rPr>
          <w:lang w:val="lv-LV"/>
        </w:rPr>
      </w:pPr>
      <w:r w:rsidRPr="005A0590">
        <w:rPr>
          <w:lang w:val="lv-LV"/>
        </w:rPr>
        <w:t>9.1.</w:t>
      </w:r>
      <w:r w:rsidR="00950499" w:rsidRPr="005A0590">
        <w:rPr>
          <w:lang w:val="lv-LV"/>
        </w:rPr>
        <w:t xml:space="preserve"> </w:t>
      </w:r>
      <w:r w:rsidR="00D53994" w:rsidRPr="005A0590">
        <w:rPr>
          <w:lang w:val="lv-LV"/>
        </w:rPr>
        <w:t>the</w:t>
      </w:r>
      <w:r w:rsidR="00BF0DE6" w:rsidRPr="005A0590">
        <w:rPr>
          <w:shd w:val="clear" w:color="auto" w:fill="FFFFFF"/>
        </w:rPr>
        <w:t xml:space="preserve"> BO for which the lower of the two predetermined fixed amounts is at least equal to the total payment made by a retail client for the binary option, including any commission, transaction fees and other related costs</w:t>
      </w:r>
      <w:r w:rsidR="00950499" w:rsidRPr="005A0590">
        <w:rPr>
          <w:lang w:val="lv-LV"/>
        </w:rPr>
        <w:t>;</w:t>
      </w:r>
    </w:p>
    <w:p w14:paraId="4996EC3F" w14:textId="6F16886B" w:rsidR="00950499" w:rsidRPr="005A0590" w:rsidRDefault="00E84CC3" w:rsidP="00E84CC3">
      <w:pPr>
        <w:pStyle w:val="ListParagraph"/>
        <w:ind w:left="0" w:firstLine="360"/>
        <w:jc w:val="both"/>
        <w:rPr>
          <w:lang w:val="lv-LV"/>
        </w:rPr>
      </w:pPr>
      <w:r w:rsidRPr="005A0590">
        <w:rPr>
          <w:lang w:val="lv-LV"/>
        </w:rPr>
        <w:t>9.2.</w:t>
      </w:r>
      <w:r w:rsidR="00950499" w:rsidRPr="005A0590">
        <w:rPr>
          <w:lang w:val="lv-LV"/>
        </w:rPr>
        <w:t xml:space="preserve"> </w:t>
      </w:r>
      <w:r w:rsidR="00D53994" w:rsidRPr="005A0590">
        <w:rPr>
          <w:lang w:val="lv-LV"/>
        </w:rPr>
        <w:t>the</w:t>
      </w:r>
      <w:r w:rsidR="00EA4CFF" w:rsidRPr="005A0590">
        <w:rPr>
          <w:lang w:val="lv-LV"/>
        </w:rPr>
        <w:t xml:space="preserve"> </w:t>
      </w:r>
      <w:r w:rsidR="00213045" w:rsidRPr="005A0590">
        <w:rPr>
          <w:lang w:val="lv-LV"/>
        </w:rPr>
        <w:t>BO</w:t>
      </w:r>
      <w:r w:rsidR="00EA4CFF" w:rsidRPr="005A0590">
        <w:rPr>
          <w:lang w:val="lv-LV"/>
        </w:rPr>
        <w:t xml:space="preserve"> that meets the following conditions</w:t>
      </w:r>
      <w:r w:rsidR="00950499" w:rsidRPr="005A0590">
        <w:rPr>
          <w:lang w:val="lv-LV"/>
        </w:rPr>
        <w:t>:</w:t>
      </w:r>
    </w:p>
    <w:p w14:paraId="3DF213B0" w14:textId="323064AC" w:rsidR="00950499" w:rsidRPr="005A0590" w:rsidRDefault="002F3B78" w:rsidP="00192750">
      <w:pPr>
        <w:ind w:firstLine="360"/>
        <w:jc w:val="both"/>
        <w:rPr>
          <w:lang w:val="lv-LV"/>
        </w:rPr>
      </w:pPr>
      <w:r w:rsidRPr="005A0590">
        <w:rPr>
          <w:lang w:val="lv-LV"/>
        </w:rPr>
        <w:t>9.2.1.</w:t>
      </w:r>
      <w:r w:rsidRPr="005A0590">
        <w:rPr>
          <w:shd w:val="clear" w:color="auto" w:fill="FFFFFF"/>
        </w:rPr>
        <w:t> the term from issuance to maturity is at least 90 calendar days</w:t>
      </w:r>
      <w:r w:rsidR="00950499" w:rsidRPr="005A0590">
        <w:rPr>
          <w:lang w:val="lv-LV"/>
        </w:rPr>
        <w:t>;</w:t>
      </w:r>
    </w:p>
    <w:p w14:paraId="0AEA28DF" w14:textId="6E92B128" w:rsidR="00950499" w:rsidRPr="005A0590" w:rsidRDefault="00E84CC3" w:rsidP="00192750">
      <w:pPr>
        <w:ind w:firstLine="360"/>
        <w:jc w:val="both"/>
        <w:rPr>
          <w:lang w:val="lv-LV"/>
        </w:rPr>
      </w:pPr>
      <w:r w:rsidRPr="005A0590">
        <w:rPr>
          <w:lang w:val="lv-LV"/>
        </w:rPr>
        <w:t>9.2.2. </w:t>
      </w:r>
      <w:r w:rsidR="002F3B78" w:rsidRPr="005A0590">
        <w:rPr>
          <w:shd w:val="clear" w:color="auto" w:fill="FFFFFF"/>
        </w:rPr>
        <w:t>a prospectus drawn up and approved in accordance with</w:t>
      </w:r>
      <w:r w:rsidR="002F3B78" w:rsidRPr="005A0590">
        <w:rPr>
          <w:lang w:val="lv-LV"/>
        </w:rPr>
        <w:t xml:space="preserve"> requirements of Part </w:t>
      </w:r>
      <w:r w:rsidR="00D23B6A" w:rsidRPr="005A0590">
        <w:rPr>
          <w:lang w:val="lv-LV"/>
        </w:rPr>
        <w:t xml:space="preserve">C </w:t>
      </w:r>
      <w:r w:rsidR="002F3B78" w:rsidRPr="005A0590">
        <w:rPr>
          <w:lang w:val="lv-LV"/>
        </w:rPr>
        <w:t>of LFIM</w:t>
      </w:r>
      <w:r w:rsidR="00950499" w:rsidRPr="005A0590">
        <w:rPr>
          <w:lang w:val="lv-LV"/>
        </w:rPr>
        <w:t xml:space="preserve">; </w:t>
      </w:r>
    </w:p>
    <w:p w14:paraId="542EB5FF" w14:textId="17A5F0AB" w:rsidR="00950499" w:rsidRPr="005A0590" w:rsidRDefault="00E84CC3" w:rsidP="00192750">
      <w:pPr>
        <w:ind w:firstLine="360"/>
        <w:jc w:val="both"/>
        <w:rPr>
          <w:sz w:val="28"/>
          <w:szCs w:val="28"/>
          <w:lang w:val="lv-LV"/>
        </w:rPr>
      </w:pPr>
      <w:r w:rsidRPr="005A0590">
        <w:rPr>
          <w:lang w:val="lv-LV"/>
        </w:rPr>
        <w:t>9.2.3.</w:t>
      </w:r>
      <w:r w:rsidR="00950499" w:rsidRPr="005A0590">
        <w:rPr>
          <w:lang w:val="lv-LV"/>
        </w:rPr>
        <w:t xml:space="preserve"> </w:t>
      </w:r>
      <w:r w:rsidR="00D53994" w:rsidRPr="005A0590">
        <w:rPr>
          <w:lang w:val="lv-LV"/>
        </w:rPr>
        <w:t>the</w:t>
      </w:r>
      <w:r w:rsidR="002F3B78" w:rsidRPr="005A0590">
        <w:rPr>
          <w:lang w:val="lv-LV"/>
        </w:rPr>
        <w:t xml:space="preserve"> </w:t>
      </w:r>
      <w:r w:rsidR="00213045" w:rsidRPr="005A0590">
        <w:rPr>
          <w:lang w:val="lv-LV"/>
        </w:rPr>
        <w:t>BO</w:t>
      </w:r>
      <w:r w:rsidR="00950499" w:rsidRPr="005A0590">
        <w:rPr>
          <w:lang w:val="lv-LV"/>
        </w:rPr>
        <w:t xml:space="preserve"> </w:t>
      </w:r>
      <w:r w:rsidR="002F3B78" w:rsidRPr="005A0590">
        <w:rPr>
          <w:shd w:val="clear" w:color="auto" w:fill="FFFFFF"/>
        </w:rPr>
        <w:t>does not expose the provider to market risk throughout the term of the binary option and the provider or any of its group entities do not make a profit or loss from the binary option, other than previously disclosed commission, transaction fees or other related charges</w:t>
      </w:r>
      <w:r w:rsidR="00950499" w:rsidRPr="005A0590">
        <w:rPr>
          <w:lang w:val="lv-LV"/>
        </w:rPr>
        <w:t>.</w:t>
      </w:r>
    </w:p>
    <w:p w14:paraId="1F08E050" w14:textId="77777777" w:rsidR="00950499" w:rsidRPr="005A0590" w:rsidRDefault="00950499" w:rsidP="00B4257D">
      <w:pPr>
        <w:rPr>
          <w:sz w:val="28"/>
          <w:szCs w:val="28"/>
          <w:lang w:val="lv-LV"/>
        </w:rPr>
      </w:pPr>
    </w:p>
    <w:p w14:paraId="32922D63" w14:textId="6FC30E64" w:rsidR="00950499" w:rsidRPr="005A0590" w:rsidRDefault="00950499" w:rsidP="00B4257D">
      <w:pPr>
        <w:pStyle w:val="ListParagraph"/>
        <w:ind w:left="0" w:firstLine="360"/>
        <w:jc w:val="both"/>
        <w:rPr>
          <w:lang w:val="lv-LV"/>
        </w:rPr>
      </w:pPr>
      <w:r w:rsidRPr="005A0590">
        <w:rPr>
          <w:lang w:val="lv-LV"/>
        </w:rPr>
        <w:t xml:space="preserve">10. </w:t>
      </w:r>
      <w:r w:rsidR="006A45E1" w:rsidRPr="005A0590">
        <w:rPr>
          <w:shd w:val="clear" w:color="auto" w:fill="FFFFFF"/>
        </w:rPr>
        <w:t>It shall be prohibited to participate, knowingly and intentionally, in activities the object or effect of which is to circumvent the requirements in Paragraph 7, including by acting as a substitute for the binary option provider</w:t>
      </w:r>
      <w:r w:rsidRPr="005A0590">
        <w:rPr>
          <w:lang w:val="lv-LV"/>
        </w:rPr>
        <w:t>.</w:t>
      </w:r>
    </w:p>
    <w:p w14:paraId="2CE3FE04" w14:textId="77777777" w:rsidR="007440B0" w:rsidRPr="005A0590" w:rsidRDefault="00754E80" w:rsidP="00B4257D">
      <w:pPr>
        <w:pStyle w:val="ListParagraph"/>
        <w:tabs>
          <w:tab w:val="left" w:pos="2787"/>
        </w:tabs>
        <w:ind w:left="0" w:firstLine="360"/>
        <w:jc w:val="both"/>
        <w:rPr>
          <w:lang w:val="lv-LV"/>
        </w:rPr>
      </w:pPr>
      <w:r w:rsidRPr="005A0590">
        <w:rPr>
          <w:lang w:val="lv-LV"/>
        </w:rPr>
        <w:tab/>
      </w:r>
    </w:p>
    <w:p w14:paraId="4194AB22" w14:textId="7FE93244" w:rsidR="005C472A" w:rsidRPr="005A0590" w:rsidRDefault="009C6C4F" w:rsidP="00DE0613">
      <w:pPr>
        <w:jc w:val="center"/>
        <w:rPr>
          <w:b/>
          <w:sz w:val="26"/>
          <w:szCs w:val="26"/>
          <w:lang w:val="lv-LV"/>
        </w:rPr>
      </w:pPr>
      <w:r w:rsidRPr="005A0590">
        <w:rPr>
          <w:b/>
          <w:sz w:val="26"/>
          <w:szCs w:val="26"/>
          <w:lang w:val="lv-LV"/>
        </w:rPr>
        <w:t xml:space="preserve">Transitional provision </w:t>
      </w:r>
    </w:p>
    <w:p w14:paraId="7F75FC5B" w14:textId="77777777" w:rsidR="005C472A" w:rsidRPr="005A0590" w:rsidRDefault="005C472A" w:rsidP="00B4257D">
      <w:pPr>
        <w:jc w:val="both"/>
        <w:rPr>
          <w:lang w:val="lv-LV"/>
        </w:rPr>
      </w:pPr>
    </w:p>
    <w:p w14:paraId="6C5F3A6C" w14:textId="2B01BDB7" w:rsidR="005C472A" w:rsidRPr="005A0590" w:rsidRDefault="009C6C4F" w:rsidP="00192750">
      <w:pPr>
        <w:pStyle w:val="ListParagraph"/>
        <w:ind w:left="0" w:firstLine="284"/>
        <w:jc w:val="both"/>
        <w:rPr>
          <w:lang w:val="lv-LV"/>
        </w:rPr>
      </w:pPr>
      <w:r w:rsidRPr="005A0590">
        <w:rPr>
          <w:lang w:val="lv-LV"/>
        </w:rPr>
        <w:t xml:space="preserve">The restrictions laid down in Paragraphs </w:t>
      </w:r>
      <w:r w:rsidR="005C472A" w:rsidRPr="005A0590">
        <w:rPr>
          <w:lang w:val="lv-LV"/>
        </w:rPr>
        <w:t>5</w:t>
      </w:r>
      <w:r w:rsidRPr="005A0590">
        <w:rPr>
          <w:lang w:val="lv-LV"/>
        </w:rPr>
        <w:t xml:space="preserve"> a</w:t>
      </w:r>
      <w:r w:rsidR="000E4797" w:rsidRPr="005A0590">
        <w:rPr>
          <w:lang w:val="lv-LV"/>
        </w:rPr>
        <w:t>n</w:t>
      </w:r>
      <w:r w:rsidRPr="005A0590">
        <w:rPr>
          <w:lang w:val="lv-LV"/>
        </w:rPr>
        <w:t>d</w:t>
      </w:r>
      <w:r w:rsidR="000E4797" w:rsidRPr="005A0590">
        <w:rPr>
          <w:lang w:val="lv-LV"/>
        </w:rPr>
        <w:t xml:space="preserve"> 7</w:t>
      </w:r>
      <w:r w:rsidRPr="005A0590">
        <w:rPr>
          <w:lang w:val="lv-LV"/>
        </w:rPr>
        <w:t xml:space="preserve"> of the Regulations shall apply from 1 August </w:t>
      </w:r>
      <w:r w:rsidR="005C472A" w:rsidRPr="005A0590">
        <w:rPr>
          <w:lang w:val="lv-LV"/>
        </w:rPr>
        <w:t xml:space="preserve">2019. </w:t>
      </w:r>
    </w:p>
    <w:p w14:paraId="1C513BBF" w14:textId="77777777" w:rsidR="005C472A" w:rsidRPr="005A0590" w:rsidRDefault="005C472A" w:rsidP="00B4257D">
      <w:pPr>
        <w:pStyle w:val="ListParagraph"/>
        <w:ind w:left="0"/>
        <w:jc w:val="both"/>
        <w:rPr>
          <w:lang w:val="lv-LV"/>
        </w:rPr>
      </w:pPr>
    </w:p>
    <w:p w14:paraId="72456854" w14:textId="77777777" w:rsidR="00950499" w:rsidRPr="005A0590" w:rsidRDefault="00950499" w:rsidP="00B4257D">
      <w:pPr>
        <w:rPr>
          <w:sz w:val="28"/>
          <w:szCs w:val="28"/>
          <w:lang w:val="lv-LV"/>
        </w:rPr>
      </w:pPr>
    </w:p>
    <w:p w14:paraId="4A443587" w14:textId="12EC8A61" w:rsidR="004342A2" w:rsidRPr="005A0590" w:rsidRDefault="00381C9E" w:rsidP="00B4257D">
      <w:pPr>
        <w:rPr>
          <w:lang w:val="lv-LV"/>
        </w:rPr>
      </w:pPr>
      <w:r w:rsidRPr="005A0590">
        <w:t>Chairperson of the Financial and Capital Market Commission</w:t>
      </w:r>
      <w:r w:rsidR="00CD654C" w:rsidRPr="005A0590">
        <w:rPr>
          <w:lang w:val="lv-LV"/>
        </w:rPr>
        <w:tab/>
      </w:r>
      <w:r w:rsidRPr="005A0590">
        <w:rPr>
          <w:lang w:val="lv-LV"/>
        </w:rPr>
        <w:t xml:space="preserve">            </w:t>
      </w:r>
      <w:r w:rsidR="00CD654C" w:rsidRPr="005A0590">
        <w:rPr>
          <w:lang w:val="lv-LV"/>
        </w:rPr>
        <w:t xml:space="preserve"> K. Černaja-Mežmale </w:t>
      </w:r>
    </w:p>
    <w:p w14:paraId="16F0C359" w14:textId="77777777" w:rsidR="00381C9E" w:rsidRPr="005A0590" w:rsidRDefault="00381C9E" w:rsidP="004633AB">
      <w:pPr>
        <w:tabs>
          <w:tab w:val="left" w:pos="4536"/>
          <w:tab w:val="left" w:pos="6660"/>
        </w:tabs>
        <w:jc w:val="right"/>
        <w:rPr>
          <w:lang w:val="lv-LV"/>
        </w:rPr>
      </w:pPr>
    </w:p>
    <w:p w14:paraId="2D82E515" w14:textId="77777777" w:rsidR="00381C9E" w:rsidRPr="005A0590" w:rsidRDefault="00381C9E" w:rsidP="004633AB">
      <w:pPr>
        <w:tabs>
          <w:tab w:val="left" w:pos="4536"/>
          <w:tab w:val="left" w:pos="6660"/>
        </w:tabs>
        <w:jc w:val="right"/>
        <w:rPr>
          <w:lang w:val="lv-LV"/>
        </w:rPr>
      </w:pPr>
    </w:p>
    <w:p w14:paraId="119B0F81" w14:textId="77777777" w:rsidR="00381C9E" w:rsidRPr="005A0590" w:rsidRDefault="00381C9E" w:rsidP="004633AB">
      <w:pPr>
        <w:tabs>
          <w:tab w:val="left" w:pos="4536"/>
          <w:tab w:val="left" w:pos="6660"/>
        </w:tabs>
        <w:jc w:val="right"/>
        <w:rPr>
          <w:lang w:val="lv-LV"/>
        </w:rPr>
      </w:pPr>
    </w:p>
    <w:p w14:paraId="04AE762C" w14:textId="77777777" w:rsidR="00381C9E" w:rsidRPr="005A0590" w:rsidRDefault="00381C9E" w:rsidP="004633AB">
      <w:pPr>
        <w:tabs>
          <w:tab w:val="left" w:pos="4536"/>
          <w:tab w:val="left" w:pos="6660"/>
        </w:tabs>
        <w:jc w:val="right"/>
        <w:rPr>
          <w:lang w:val="lv-LV"/>
        </w:rPr>
      </w:pPr>
    </w:p>
    <w:p w14:paraId="33F83334" w14:textId="77777777" w:rsidR="00381C9E" w:rsidRPr="005A0590" w:rsidRDefault="00381C9E" w:rsidP="004633AB">
      <w:pPr>
        <w:tabs>
          <w:tab w:val="left" w:pos="4536"/>
          <w:tab w:val="left" w:pos="6660"/>
        </w:tabs>
        <w:jc w:val="right"/>
        <w:rPr>
          <w:lang w:val="lv-LV"/>
        </w:rPr>
      </w:pPr>
    </w:p>
    <w:p w14:paraId="53D114BA" w14:textId="77777777" w:rsidR="00381C9E" w:rsidRPr="005A0590" w:rsidRDefault="00381C9E" w:rsidP="004633AB">
      <w:pPr>
        <w:tabs>
          <w:tab w:val="left" w:pos="4536"/>
          <w:tab w:val="left" w:pos="6660"/>
        </w:tabs>
        <w:jc w:val="right"/>
        <w:rPr>
          <w:lang w:val="lv-LV"/>
        </w:rPr>
      </w:pPr>
    </w:p>
    <w:p w14:paraId="1714FE50" w14:textId="77777777" w:rsidR="00381C9E" w:rsidRPr="005A0590" w:rsidRDefault="00381C9E" w:rsidP="004633AB">
      <w:pPr>
        <w:tabs>
          <w:tab w:val="left" w:pos="4536"/>
          <w:tab w:val="left" w:pos="6660"/>
        </w:tabs>
        <w:jc w:val="right"/>
        <w:rPr>
          <w:lang w:val="lv-LV"/>
        </w:rPr>
      </w:pPr>
    </w:p>
    <w:p w14:paraId="1B6CF544" w14:textId="77777777" w:rsidR="00381C9E" w:rsidRPr="005A0590" w:rsidRDefault="00381C9E" w:rsidP="004633AB">
      <w:pPr>
        <w:tabs>
          <w:tab w:val="left" w:pos="4536"/>
          <w:tab w:val="left" w:pos="6660"/>
        </w:tabs>
        <w:jc w:val="right"/>
        <w:rPr>
          <w:lang w:val="lv-LV"/>
        </w:rPr>
      </w:pPr>
    </w:p>
    <w:p w14:paraId="3E0A0001" w14:textId="77777777" w:rsidR="00381C9E" w:rsidRPr="005A0590" w:rsidRDefault="00381C9E" w:rsidP="004633AB">
      <w:pPr>
        <w:tabs>
          <w:tab w:val="left" w:pos="4536"/>
          <w:tab w:val="left" w:pos="6660"/>
        </w:tabs>
        <w:jc w:val="right"/>
        <w:rPr>
          <w:lang w:val="lv-LV"/>
        </w:rPr>
      </w:pPr>
    </w:p>
    <w:p w14:paraId="20AEF916" w14:textId="77777777" w:rsidR="00381C9E" w:rsidRPr="005A0590" w:rsidRDefault="00381C9E" w:rsidP="004633AB">
      <w:pPr>
        <w:tabs>
          <w:tab w:val="left" w:pos="4536"/>
          <w:tab w:val="left" w:pos="6660"/>
        </w:tabs>
        <w:jc w:val="right"/>
        <w:rPr>
          <w:lang w:val="lv-LV"/>
        </w:rPr>
      </w:pPr>
    </w:p>
    <w:p w14:paraId="739688D8" w14:textId="77777777" w:rsidR="00381C9E" w:rsidRPr="005A0590" w:rsidRDefault="00381C9E" w:rsidP="004633AB">
      <w:pPr>
        <w:tabs>
          <w:tab w:val="left" w:pos="4536"/>
          <w:tab w:val="left" w:pos="6660"/>
        </w:tabs>
        <w:jc w:val="right"/>
        <w:rPr>
          <w:lang w:val="lv-LV"/>
        </w:rPr>
      </w:pPr>
    </w:p>
    <w:p w14:paraId="710CCE16" w14:textId="77777777" w:rsidR="00381C9E" w:rsidRPr="005A0590" w:rsidRDefault="00381C9E" w:rsidP="004633AB">
      <w:pPr>
        <w:tabs>
          <w:tab w:val="left" w:pos="4536"/>
          <w:tab w:val="left" w:pos="6660"/>
        </w:tabs>
        <w:jc w:val="right"/>
        <w:rPr>
          <w:lang w:val="lv-LV"/>
        </w:rPr>
      </w:pPr>
    </w:p>
    <w:p w14:paraId="134B195B" w14:textId="77777777" w:rsidR="00381C9E" w:rsidRPr="005A0590" w:rsidRDefault="00381C9E" w:rsidP="004633AB">
      <w:pPr>
        <w:tabs>
          <w:tab w:val="left" w:pos="4536"/>
          <w:tab w:val="left" w:pos="6660"/>
        </w:tabs>
        <w:jc w:val="right"/>
        <w:rPr>
          <w:lang w:val="lv-LV"/>
        </w:rPr>
      </w:pPr>
    </w:p>
    <w:p w14:paraId="4318792C" w14:textId="77777777" w:rsidR="00381C9E" w:rsidRPr="005A0590" w:rsidRDefault="00381C9E" w:rsidP="004633AB">
      <w:pPr>
        <w:tabs>
          <w:tab w:val="left" w:pos="4536"/>
          <w:tab w:val="left" w:pos="6660"/>
        </w:tabs>
        <w:jc w:val="right"/>
        <w:rPr>
          <w:lang w:val="lv-LV"/>
        </w:rPr>
      </w:pPr>
    </w:p>
    <w:p w14:paraId="290B5131" w14:textId="77777777" w:rsidR="00FA2CB7" w:rsidRPr="005A0590" w:rsidRDefault="00FA2CB7" w:rsidP="004633AB">
      <w:pPr>
        <w:tabs>
          <w:tab w:val="left" w:pos="4536"/>
          <w:tab w:val="left" w:pos="6660"/>
        </w:tabs>
        <w:jc w:val="right"/>
        <w:rPr>
          <w:lang w:val="lv-LV"/>
        </w:rPr>
      </w:pPr>
    </w:p>
    <w:p w14:paraId="32369520" w14:textId="77777777" w:rsidR="00FA2CB7" w:rsidRPr="005A0590" w:rsidRDefault="00FA2CB7" w:rsidP="004633AB">
      <w:pPr>
        <w:tabs>
          <w:tab w:val="left" w:pos="4536"/>
          <w:tab w:val="left" w:pos="6660"/>
        </w:tabs>
        <w:jc w:val="right"/>
        <w:rPr>
          <w:lang w:val="lv-LV"/>
        </w:rPr>
      </w:pPr>
    </w:p>
    <w:p w14:paraId="7303BBAC" w14:textId="77777777" w:rsidR="00FA2CB7" w:rsidRPr="005A0590" w:rsidRDefault="00FA2CB7" w:rsidP="004633AB">
      <w:pPr>
        <w:tabs>
          <w:tab w:val="left" w:pos="4536"/>
          <w:tab w:val="left" w:pos="6660"/>
        </w:tabs>
        <w:jc w:val="right"/>
        <w:rPr>
          <w:lang w:val="lv-LV"/>
        </w:rPr>
      </w:pPr>
    </w:p>
    <w:p w14:paraId="7143A786" w14:textId="77777777" w:rsidR="00FA2CB7" w:rsidRPr="005A0590" w:rsidRDefault="00FA2CB7" w:rsidP="004633AB">
      <w:pPr>
        <w:tabs>
          <w:tab w:val="left" w:pos="4536"/>
          <w:tab w:val="left" w:pos="6660"/>
        </w:tabs>
        <w:jc w:val="right"/>
        <w:rPr>
          <w:lang w:val="lv-LV"/>
        </w:rPr>
      </w:pPr>
    </w:p>
    <w:p w14:paraId="4B7EAB0D" w14:textId="77777777" w:rsidR="00FA2CB7" w:rsidRPr="005A0590" w:rsidRDefault="00FA2CB7" w:rsidP="004633AB">
      <w:pPr>
        <w:tabs>
          <w:tab w:val="left" w:pos="4536"/>
          <w:tab w:val="left" w:pos="6660"/>
        </w:tabs>
        <w:jc w:val="right"/>
        <w:rPr>
          <w:lang w:val="lv-LV"/>
        </w:rPr>
      </w:pPr>
    </w:p>
    <w:p w14:paraId="5574F6CD" w14:textId="77777777" w:rsidR="00FA2CB7" w:rsidRPr="005A0590" w:rsidRDefault="00FA2CB7" w:rsidP="004633AB">
      <w:pPr>
        <w:tabs>
          <w:tab w:val="left" w:pos="4536"/>
          <w:tab w:val="left" w:pos="6660"/>
        </w:tabs>
        <w:jc w:val="right"/>
        <w:rPr>
          <w:lang w:val="lv-LV"/>
        </w:rPr>
      </w:pPr>
    </w:p>
    <w:p w14:paraId="6593FE57" w14:textId="58064D2E" w:rsidR="004633AB" w:rsidRPr="005A0590" w:rsidRDefault="001948F1" w:rsidP="004633AB">
      <w:pPr>
        <w:tabs>
          <w:tab w:val="left" w:pos="4536"/>
          <w:tab w:val="left" w:pos="6660"/>
        </w:tabs>
        <w:jc w:val="right"/>
        <w:rPr>
          <w:lang w:val="lv-LV"/>
        </w:rPr>
      </w:pPr>
      <w:r w:rsidRPr="005A0590">
        <w:rPr>
          <w:lang w:val="lv-LV"/>
        </w:rPr>
        <w:t xml:space="preserve">Annex </w:t>
      </w:r>
      <w:r w:rsidR="00DE0613" w:rsidRPr="005A0590">
        <w:rPr>
          <w:lang w:val="lv-LV"/>
        </w:rPr>
        <w:t>1</w:t>
      </w:r>
    </w:p>
    <w:p w14:paraId="79913967" w14:textId="2814E19F" w:rsidR="004633AB" w:rsidRPr="005A0590" w:rsidRDefault="003B5AFF" w:rsidP="004633AB">
      <w:pPr>
        <w:tabs>
          <w:tab w:val="left" w:pos="4536"/>
          <w:tab w:val="left" w:pos="6660"/>
        </w:tabs>
        <w:jc w:val="right"/>
        <w:rPr>
          <w:lang w:val="lv-LV"/>
        </w:rPr>
      </w:pPr>
      <w:r w:rsidRPr="005A0590">
        <w:t>Regulations No 123</w:t>
      </w:r>
    </w:p>
    <w:p w14:paraId="5354108A" w14:textId="7D380C96" w:rsidR="004633AB" w:rsidRPr="005A0590" w:rsidRDefault="004633AB" w:rsidP="004633AB">
      <w:pPr>
        <w:tabs>
          <w:tab w:val="left" w:pos="4536"/>
          <w:tab w:val="left" w:pos="6660"/>
        </w:tabs>
        <w:jc w:val="right"/>
        <w:rPr>
          <w:lang w:val="lv-LV"/>
        </w:rPr>
      </w:pPr>
      <w:r w:rsidRPr="005A0590">
        <w:rPr>
          <w:lang w:val="lv-LV"/>
        </w:rPr>
        <w:t xml:space="preserve"> </w:t>
      </w:r>
      <w:r w:rsidR="003B5AFF" w:rsidRPr="005A0590">
        <w:rPr>
          <w:lang w:val="lv-LV"/>
        </w:rPr>
        <w:t xml:space="preserve">of the Financial and Capital Market Commission of </w:t>
      </w:r>
      <w:r w:rsidR="00AA0F42" w:rsidRPr="005A0590">
        <w:rPr>
          <w:lang w:val="lv-LV"/>
        </w:rPr>
        <w:t>26.07.</w:t>
      </w:r>
      <w:r w:rsidRPr="005A0590">
        <w:rPr>
          <w:lang w:val="lv-LV"/>
        </w:rPr>
        <w:t>2019</w:t>
      </w:r>
    </w:p>
    <w:p w14:paraId="5B0B5C2B" w14:textId="77777777" w:rsidR="004633AB" w:rsidRPr="005A0590" w:rsidRDefault="004633AB" w:rsidP="004633AB">
      <w:pPr>
        <w:autoSpaceDE w:val="0"/>
        <w:autoSpaceDN w:val="0"/>
        <w:adjustRightInd w:val="0"/>
        <w:jc w:val="center"/>
        <w:rPr>
          <w:noProof/>
          <w:lang w:val="lv-LV"/>
        </w:rPr>
      </w:pPr>
    </w:p>
    <w:p w14:paraId="5DDBB5E3" w14:textId="3AE1D764" w:rsidR="004633AB" w:rsidRPr="005A0590" w:rsidRDefault="00A551F9" w:rsidP="004633AB">
      <w:pPr>
        <w:autoSpaceDE w:val="0"/>
        <w:autoSpaceDN w:val="0"/>
        <w:adjustRightInd w:val="0"/>
        <w:jc w:val="center"/>
        <w:rPr>
          <w:b/>
          <w:sz w:val="28"/>
          <w:lang w:val="lv-LV"/>
        </w:rPr>
      </w:pPr>
      <w:r w:rsidRPr="005A0590">
        <w:rPr>
          <w:b/>
          <w:sz w:val="28"/>
          <w:lang w:val="lv-LV"/>
        </w:rPr>
        <w:t xml:space="preserve">Initial </w:t>
      </w:r>
      <w:r w:rsidR="007C6CB7" w:rsidRPr="005A0590">
        <w:rPr>
          <w:b/>
          <w:sz w:val="28"/>
          <w:lang w:val="lv-LV"/>
        </w:rPr>
        <w:t>margin</w:t>
      </w:r>
      <w:r w:rsidRPr="005A0590">
        <w:rPr>
          <w:b/>
          <w:sz w:val="28"/>
          <w:lang w:val="lv-LV"/>
        </w:rPr>
        <w:t xml:space="preserve"> </w:t>
      </w:r>
      <w:r w:rsidR="007C6CB7" w:rsidRPr="005A0590">
        <w:rPr>
          <w:b/>
          <w:sz w:val="28"/>
          <w:lang w:val="lv-LV"/>
        </w:rPr>
        <w:t>p</w:t>
      </w:r>
      <w:r w:rsidRPr="005A0590">
        <w:rPr>
          <w:b/>
          <w:sz w:val="28"/>
          <w:lang w:val="lv-LV"/>
        </w:rPr>
        <w:t>e</w:t>
      </w:r>
      <w:r w:rsidR="007C6CB7" w:rsidRPr="005A0590">
        <w:rPr>
          <w:b/>
          <w:sz w:val="28"/>
          <w:lang w:val="lv-LV"/>
        </w:rPr>
        <w:t>r</w:t>
      </w:r>
      <w:r w:rsidRPr="005A0590">
        <w:rPr>
          <w:b/>
          <w:sz w:val="28"/>
          <w:lang w:val="lv-LV"/>
        </w:rPr>
        <w:t xml:space="preserve">centage by type of underlying assets </w:t>
      </w:r>
    </w:p>
    <w:p w14:paraId="50DD9E41" w14:textId="77777777" w:rsidR="004633AB" w:rsidRPr="005A0590" w:rsidRDefault="004633AB" w:rsidP="003437B5">
      <w:pPr>
        <w:rPr>
          <w:lang w:val="lv-LV"/>
        </w:rPr>
      </w:pPr>
    </w:p>
    <w:p w14:paraId="610D06D1" w14:textId="09F6831E" w:rsidR="004633AB" w:rsidRPr="005A0590" w:rsidRDefault="00457643" w:rsidP="00457643">
      <w:pPr>
        <w:pStyle w:val="ListParagraph"/>
        <w:ind w:left="0" w:firstLine="360"/>
        <w:jc w:val="both"/>
        <w:rPr>
          <w:lang w:val="lv-LV"/>
        </w:rPr>
      </w:pPr>
      <w:r w:rsidRPr="005A0590">
        <w:rPr>
          <w:lang w:val="lv-LV"/>
        </w:rPr>
        <w:t>1.</w:t>
      </w:r>
      <w:r w:rsidR="004633AB" w:rsidRPr="005A0590">
        <w:rPr>
          <w:lang w:val="lv-LV"/>
        </w:rPr>
        <w:t xml:space="preserve"> </w:t>
      </w:r>
      <w:r w:rsidR="00B96E3C" w:rsidRPr="005A0590">
        <w:rPr>
          <w:rFonts w:ascii="Roboto" w:hAnsi="Roboto"/>
          <w:color w:val="444444"/>
          <w:sz w:val="20"/>
          <w:szCs w:val="20"/>
          <w:shd w:val="clear" w:color="auto" w:fill="FFFFFF"/>
        </w:rPr>
        <w:t> </w:t>
      </w:r>
      <w:r w:rsidR="00B96E3C" w:rsidRPr="005A0590">
        <w:rPr>
          <w:shd w:val="clear" w:color="auto" w:fill="FFFFFF"/>
        </w:rPr>
        <w:t>3,33 % of the notional value of the CFD when the underlying currency pair is composed of any two of the following currencies: US dollar, Euro, Japanese yen, Pound sterling, Canadian dollar or Swiss franc</w:t>
      </w:r>
      <w:r w:rsidRPr="005A0590">
        <w:rPr>
          <w:lang w:val="lv-LV"/>
        </w:rPr>
        <w:t>.</w:t>
      </w:r>
    </w:p>
    <w:p w14:paraId="4BCB6CA5" w14:textId="77777777" w:rsidR="004633AB" w:rsidRPr="005A0590" w:rsidRDefault="004633AB" w:rsidP="00457643">
      <w:pPr>
        <w:pStyle w:val="ListParagraph"/>
        <w:ind w:left="0" w:firstLine="360"/>
        <w:jc w:val="both"/>
        <w:rPr>
          <w:lang w:val="lv-LV"/>
        </w:rPr>
      </w:pPr>
    </w:p>
    <w:p w14:paraId="5613E549" w14:textId="682F292F" w:rsidR="004633AB" w:rsidRPr="005A0590" w:rsidRDefault="00457643" w:rsidP="00457643">
      <w:pPr>
        <w:pStyle w:val="ListParagraph"/>
        <w:ind w:left="0" w:firstLine="360"/>
        <w:jc w:val="both"/>
        <w:rPr>
          <w:lang w:val="lv-LV"/>
        </w:rPr>
      </w:pPr>
      <w:r w:rsidRPr="005A0590">
        <w:rPr>
          <w:lang w:val="lv-LV"/>
        </w:rPr>
        <w:t>2.</w:t>
      </w:r>
      <w:r w:rsidR="004633AB" w:rsidRPr="005A0590">
        <w:rPr>
          <w:lang w:val="lv-LV"/>
        </w:rPr>
        <w:t xml:space="preserve"> </w:t>
      </w:r>
      <w:r w:rsidR="00B96E3C" w:rsidRPr="005A0590">
        <w:rPr>
          <w:shd w:val="clear" w:color="auto" w:fill="FFFFFF"/>
        </w:rPr>
        <w:t>5 % of the notional value of the CFD when the underlying index, currency pair or commodity is</w:t>
      </w:r>
      <w:r w:rsidR="004633AB" w:rsidRPr="005A0590">
        <w:rPr>
          <w:lang w:val="lv-LV"/>
        </w:rPr>
        <w:t>:</w:t>
      </w:r>
    </w:p>
    <w:p w14:paraId="544FF836" w14:textId="66A3FAE0" w:rsidR="004633AB" w:rsidRPr="005A0590" w:rsidRDefault="00457643" w:rsidP="00457643">
      <w:pPr>
        <w:pStyle w:val="ListParagraph"/>
        <w:ind w:left="0" w:firstLine="360"/>
        <w:jc w:val="both"/>
        <w:rPr>
          <w:lang w:val="lv-LV"/>
        </w:rPr>
      </w:pPr>
      <w:r w:rsidRPr="005A0590">
        <w:rPr>
          <w:lang w:val="lv-LV"/>
        </w:rPr>
        <w:t>2.1.</w:t>
      </w:r>
      <w:r w:rsidR="004633AB" w:rsidRPr="005A0590">
        <w:rPr>
          <w:lang w:val="lv-LV"/>
        </w:rPr>
        <w:t xml:space="preserve"> </w:t>
      </w:r>
      <w:r w:rsidR="00746238" w:rsidRPr="005A0590">
        <w:rPr>
          <w:shd w:val="clear" w:color="auto" w:fill="FFFFFF"/>
        </w:rPr>
        <w:t>any of the following equity indices</w:t>
      </w:r>
      <w:r w:rsidR="004633AB" w:rsidRPr="005A0590">
        <w:rPr>
          <w:lang w:val="lv-LV"/>
        </w:rPr>
        <w:t>: Financial Times Stock Exchange 100 (FTSE 100); Cotation Assistée en Continu 40 (CAC 40); Deutsche Bourse AG German Stock Index 30 (DAX30); Dow Jones Industrial Average (DJIA); Standard &amp; Poors 500 (S&amp;P 500); NASDAQ Composite Index (NASDAQ)</w:t>
      </w:r>
      <w:r w:rsidR="00076185" w:rsidRPr="005A0590">
        <w:rPr>
          <w:lang w:val="lv-LV"/>
        </w:rPr>
        <w:t>;</w:t>
      </w:r>
      <w:r w:rsidR="004633AB" w:rsidRPr="005A0590">
        <w:rPr>
          <w:lang w:val="lv-LV"/>
        </w:rPr>
        <w:t xml:space="preserve"> NASDAQ 100 Index (NASDAQ 100); Nikkei Index (Nikkei 225); Standard &amp; Poors/Australian Securities Exchange 200 (ASX 200); EURO STOXX 50 Index (EURO STOXX 50);</w:t>
      </w:r>
    </w:p>
    <w:p w14:paraId="1AF20F87" w14:textId="6569A676" w:rsidR="004633AB" w:rsidRPr="005A0590" w:rsidRDefault="00457643" w:rsidP="00457643">
      <w:pPr>
        <w:pStyle w:val="ListParagraph"/>
        <w:ind w:left="0" w:firstLine="360"/>
        <w:jc w:val="both"/>
        <w:rPr>
          <w:lang w:val="lv-LV"/>
        </w:rPr>
      </w:pPr>
      <w:r w:rsidRPr="005A0590">
        <w:rPr>
          <w:lang w:val="lv-LV"/>
        </w:rPr>
        <w:t>2.2.</w:t>
      </w:r>
      <w:r w:rsidR="0059586F" w:rsidRPr="005A0590">
        <w:rPr>
          <w:lang w:val="lv-LV"/>
        </w:rPr>
        <w:t xml:space="preserve"> </w:t>
      </w:r>
      <w:r w:rsidR="00746238" w:rsidRPr="005A0590">
        <w:rPr>
          <w:shd w:val="clear" w:color="auto" w:fill="FFFFFF"/>
        </w:rPr>
        <w:t xml:space="preserve">a currency pair composed of at least one currency that is not listed in paragraph 1 of </w:t>
      </w:r>
      <w:r w:rsidR="001A3CC0" w:rsidRPr="005A0590">
        <w:rPr>
          <w:shd w:val="clear" w:color="auto" w:fill="FFFFFF"/>
        </w:rPr>
        <w:t xml:space="preserve">this </w:t>
      </w:r>
      <w:r w:rsidR="00746238" w:rsidRPr="005A0590">
        <w:rPr>
          <w:shd w:val="clear" w:color="auto" w:fill="FFFFFF"/>
        </w:rPr>
        <w:t>Annex</w:t>
      </w:r>
      <w:r w:rsidR="004633AB" w:rsidRPr="005A0590">
        <w:rPr>
          <w:lang w:val="lv-LV"/>
        </w:rPr>
        <w:t xml:space="preserve">; </w:t>
      </w:r>
    </w:p>
    <w:p w14:paraId="534A74B3" w14:textId="2C35C4D3" w:rsidR="004633AB" w:rsidRPr="005A0590" w:rsidRDefault="00457643" w:rsidP="00457643">
      <w:pPr>
        <w:pStyle w:val="ListParagraph"/>
        <w:ind w:left="0" w:firstLine="360"/>
        <w:jc w:val="both"/>
        <w:rPr>
          <w:lang w:val="lv-LV"/>
        </w:rPr>
      </w:pPr>
      <w:r w:rsidRPr="005A0590">
        <w:rPr>
          <w:lang w:val="lv-LV"/>
        </w:rPr>
        <w:t>2.3.</w:t>
      </w:r>
      <w:r w:rsidR="0059586F" w:rsidRPr="005A0590">
        <w:rPr>
          <w:lang w:val="lv-LV"/>
        </w:rPr>
        <w:t xml:space="preserve"> </w:t>
      </w:r>
      <w:r w:rsidR="00746238" w:rsidRPr="005A0590">
        <w:rPr>
          <w:lang w:val="lv-LV"/>
        </w:rPr>
        <w:t>gold</w:t>
      </w:r>
      <w:r w:rsidRPr="005A0590">
        <w:rPr>
          <w:lang w:val="lv-LV"/>
        </w:rPr>
        <w:t>.</w:t>
      </w:r>
    </w:p>
    <w:p w14:paraId="6A6BDBE1" w14:textId="77777777" w:rsidR="004633AB" w:rsidRPr="005A0590" w:rsidRDefault="004633AB" w:rsidP="00457643">
      <w:pPr>
        <w:pStyle w:val="ListParagraph"/>
        <w:ind w:left="0" w:firstLine="360"/>
        <w:jc w:val="both"/>
        <w:rPr>
          <w:lang w:val="lv-LV"/>
        </w:rPr>
      </w:pPr>
    </w:p>
    <w:p w14:paraId="46DF334F" w14:textId="49670BFB" w:rsidR="004633AB" w:rsidRPr="005A0590" w:rsidRDefault="00457643" w:rsidP="00457643">
      <w:pPr>
        <w:pStyle w:val="ListParagraph"/>
        <w:ind w:left="0" w:firstLine="360"/>
        <w:jc w:val="both"/>
        <w:rPr>
          <w:lang w:val="lv-LV"/>
        </w:rPr>
      </w:pPr>
      <w:r w:rsidRPr="005A0590">
        <w:rPr>
          <w:lang w:val="lv-LV"/>
        </w:rPr>
        <w:t>3.</w:t>
      </w:r>
      <w:r w:rsidR="0059586F" w:rsidRPr="005A0590">
        <w:rPr>
          <w:lang w:val="lv-LV"/>
        </w:rPr>
        <w:t xml:space="preserve"> </w:t>
      </w:r>
      <w:r w:rsidR="001A3CC0" w:rsidRPr="005A0590">
        <w:rPr>
          <w:shd w:val="clear" w:color="auto" w:fill="FFFFFF"/>
        </w:rPr>
        <w:t>10 % of the notional value of the CFD when the underlying commodity or equity index is a commodity or any equity index other than those listed in paragraph 2 of this Annex</w:t>
      </w:r>
      <w:r w:rsidRPr="005A0590">
        <w:rPr>
          <w:lang w:val="lv-LV"/>
        </w:rPr>
        <w:t>.</w:t>
      </w:r>
    </w:p>
    <w:p w14:paraId="7BC03F1A" w14:textId="77777777" w:rsidR="004633AB" w:rsidRPr="005A0590" w:rsidRDefault="004633AB" w:rsidP="00457643">
      <w:pPr>
        <w:pStyle w:val="ListParagraph"/>
        <w:ind w:left="0" w:firstLine="360"/>
        <w:jc w:val="both"/>
        <w:rPr>
          <w:lang w:val="lv-LV"/>
        </w:rPr>
      </w:pPr>
    </w:p>
    <w:p w14:paraId="1941CDBF" w14:textId="107C67D8" w:rsidR="004633AB" w:rsidRPr="005A0590" w:rsidRDefault="00457643" w:rsidP="00457643">
      <w:pPr>
        <w:pStyle w:val="ListParagraph"/>
        <w:ind w:left="0" w:firstLine="360"/>
        <w:jc w:val="both"/>
        <w:rPr>
          <w:lang w:val="lv-LV"/>
        </w:rPr>
      </w:pPr>
      <w:r w:rsidRPr="005A0590">
        <w:rPr>
          <w:lang w:val="lv-LV"/>
        </w:rPr>
        <w:t>4.</w:t>
      </w:r>
      <w:r w:rsidR="0059586F" w:rsidRPr="005A0590">
        <w:rPr>
          <w:lang w:val="lv-LV"/>
        </w:rPr>
        <w:t xml:space="preserve"> </w:t>
      </w:r>
      <w:r w:rsidR="001A3CC0" w:rsidRPr="005A0590">
        <w:rPr>
          <w:shd w:val="clear" w:color="auto" w:fill="FFFFFF"/>
        </w:rPr>
        <w:t>50 % of the notional value of the CFD when the underlying is a cryptocurrency</w:t>
      </w:r>
      <w:r w:rsidRPr="005A0590">
        <w:rPr>
          <w:lang w:val="lv-LV"/>
        </w:rPr>
        <w:t>.</w:t>
      </w:r>
    </w:p>
    <w:p w14:paraId="0C7ED143" w14:textId="77777777" w:rsidR="004633AB" w:rsidRPr="005A0590" w:rsidRDefault="004633AB" w:rsidP="00457643">
      <w:pPr>
        <w:pStyle w:val="ListParagraph"/>
        <w:ind w:left="0" w:firstLine="360"/>
        <w:jc w:val="both"/>
        <w:rPr>
          <w:lang w:val="lv-LV"/>
        </w:rPr>
      </w:pPr>
    </w:p>
    <w:p w14:paraId="782EA5A4" w14:textId="13438F3F" w:rsidR="004633AB" w:rsidRPr="005A0590" w:rsidRDefault="00457643" w:rsidP="00457643">
      <w:pPr>
        <w:pStyle w:val="ListParagraph"/>
        <w:ind w:left="0" w:firstLine="360"/>
        <w:jc w:val="both"/>
        <w:rPr>
          <w:lang w:val="lv-LV"/>
        </w:rPr>
      </w:pPr>
      <w:r w:rsidRPr="005A0590">
        <w:rPr>
          <w:lang w:val="lv-LV"/>
        </w:rPr>
        <w:t>5.</w:t>
      </w:r>
      <w:r w:rsidR="0059586F" w:rsidRPr="005A0590">
        <w:rPr>
          <w:lang w:val="lv-LV"/>
        </w:rPr>
        <w:t xml:space="preserve"> </w:t>
      </w:r>
      <w:r w:rsidR="00690C02" w:rsidRPr="005A0590">
        <w:rPr>
          <w:shd w:val="clear" w:color="auto" w:fill="FFFFFF"/>
        </w:rPr>
        <w:t>20 % of the notional value of the CFD when the underlying asset is</w:t>
      </w:r>
      <w:r w:rsidR="004633AB" w:rsidRPr="005A0590">
        <w:rPr>
          <w:lang w:val="lv-LV"/>
        </w:rPr>
        <w:t>:</w:t>
      </w:r>
    </w:p>
    <w:p w14:paraId="30958E86" w14:textId="3D8BA151" w:rsidR="004633AB" w:rsidRPr="005A0590" w:rsidRDefault="00457643" w:rsidP="00457643">
      <w:pPr>
        <w:pStyle w:val="ListParagraph"/>
        <w:ind w:left="0" w:firstLine="360"/>
        <w:jc w:val="both"/>
        <w:rPr>
          <w:lang w:val="lv-LV"/>
        </w:rPr>
      </w:pPr>
      <w:r w:rsidRPr="005A0590">
        <w:rPr>
          <w:lang w:val="lv-LV"/>
        </w:rPr>
        <w:t>5.1.</w:t>
      </w:r>
      <w:r w:rsidR="0059586F" w:rsidRPr="005A0590">
        <w:rPr>
          <w:lang w:val="lv-LV"/>
        </w:rPr>
        <w:t xml:space="preserve"> </w:t>
      </w:r>
      <w:r w:rsidR="004633AB" w:rsidRPr="005A0590">
        <w:rPr>
          <w:lang w:val="lv-LV"/>
        </w:rPr>
        <w:t>a</w:t>
      </w:r>
      <w:r w:rsidR="00690C02" w:rsidRPr="005A0590">
        <w:rPr>
          <w:lang w:val="lv-LV"/>
        </w:rPr>
        <w:t xml:space="preserve"> share</w:t>
      </w:r>
      <w:r w:rsidR="004633AB" w:rsidRPr="005A0590">
        <w:rPr>
          <w:lang w:val="lv-LV"/>
        </w:rPr>
        <w:t>;</w:t>
      </w:r>
    </w:p>
    <w:p w14:paraId="74896D96" w14:textId="2CBF1C57" w:rsidR="004633AB" w:rsidRPr="005A0590" w:rsidRDefault="00457643" w:rsidP="00457643">
      <w:pPr>
        <w:pStyle w:val="ListParagraph"/>
        <w:ind w:left="0" w:firstLine="360"/>
        <w:jc w:val="both"/>
        <w:rPr>
          <w:lang w:val="lv-LV"/>
        </w:rPr>
      </w:pPr>
      <w:r w:rsidRPr="005A0590">
        <w:rPr>
          <w:lang w:val="lv-LV"/>
        </w:rPr>
        <w:t>5.2.</w:t>
      </w:r>
      <w:r w:rsidR="0059586F" w:rsidRPr="005A0590">
        <w:rPr>
          <w:lang w:val="lv-LV"/>
        </w:rPr>
        <w:t xml:space="preserve"> </w:t>
      </w:r>
      <w:r w:rsidR="00690C02" w:rsidRPr="005A0590">
        <w:rPr>
          <w:lang w:val="lv-LV"/>
        </w:rPr>
        <w:t>other assets not listed in this Annex</w:t>
      </w:r>
      <w:r w:rsidR="004633AB" w:rsidRPr="005A0590">
        <w:rPr>
          <w:lang w:val="lv-LV"/>
        </w:rPr>
        <w:t>.</w:t>
      </w:r>
    </w:p>
    <w:p w14:paraId="573E1B90" w14:textId="77777777" w:rsidR="0059586F" w:rsidRPr="005A0590" w:rsidRDefault="0059586F" w:rsidP="00457643">
      <w:pPr>
        <w:ind w:firstLine="360"/>
        <w:rPr>
          <w:lang w:val="lv-LV"/>
        </w:rPr>
      </w:pPr>
      <w:r w:rsidRPr="005A0590">
        <w:rPr>
          <w:lang w:val="lv-LV"/>
        </w:rPr>
        <w:br w:type="page"/>
      </w:r>
    </w:p>
    <w:p w14:paraId="29761A0A" w14:textId="6DF692C9" w:rsidR="003B5AFF" w:rsidRPr="005A0590" w:rsidRDefault="003B5AFF" w:rsidP="003B5AFF">
      <w:pPr>
        <w:tabs>
          <w:tab w:val="left" w:pos="4536"/>
          <w:tab w:val="left" w:pos="6660"/>
        </w:tabs>
        <w:jc w:val="right"/>
        <w:rPr>
          <w:lang w:val="lv-LV"/>
        </w:rPr>
      </w:pPr>
      <w:r w:rsidRPr="005A0590">
        <w:rPr>
          <w:lang w:val="lv-LV"/>
        </w:rPr>
        <w:lastRenderedPageBreak/>
        <w:t>Annex 2</w:t>
      </w:r>
    </w:p>
    <w:p w14:paraId="32D1BBE3" w14:textId="77777777" w:rsidR="003B5AFF" w:rsidRPr="005A0590" w:rsidRDefault="003B5AFF" w:rsidP="003B5AFF">
      <w:pPr>
        <w:tabs>
          <w:tab w:val="left" w:pos="4536"/>
          <w:tab w:val="left" w:pos="6660"/>
        </w:tabs>
        <w:jc w:val="right"/>
        <w:rPr>
          <w:lang w:val="lv-LV"/>
        </w:rPr>
      </w:pPr>
      <w:r w:rsidRPr="005A0590">
        <w:t>Regulations No 123</w:t>
      </w:r>
    </w:p>
    <w:p w14:paraId="5FEAAF6A" w14:textId="3321CD88" w:rsidR="00AA0F42" w:rsidRPr="005A0590" w:rsidRDefault="003B5AFF" w:rsidP="003B5AFF">
      <w:pPr>
        <w:tabs>
          <w:tab w:val="left" w:pos="4536"/>
          <w:tab w:val="left" w:pos="6660"/>
        </w:tabs>
        <w:jc w:val="right"/>
        <w:rPr>
          <w:lang w:val="lv-LV"/>
        </w:rPr>
      </w:pPr>
      <w:r w:rsidRPr="005A0590">
        <w:rPr>
          <w:lang w:val="lv-LV"/>
        </w:rPr>
        <w:t xml:space="preserve"> of the Financial and Capital Market Commission of 26.07.2019</w:t>
      </w:r>
    </w:p>
    <w:p w14:paraId="177985D6" w14:textId="77777777" w:rsidR="00AA0F42" w:rsidRPr="005A0590" w:rsidRDefault="00AA0F42" w:rsidP="00AA0F42">
      <w:pPr>
        <w:tabs>
          <w:tab w:val="left" w:pos="4536"/>
          <w:tab w:val="left" w:pos="6660"/>
        </w:tabs>
        <w:jc w:val="right"/>
        <w:rPr>
          <w:noProof/>
          <w:lang w:val="lv-LV"/>
        </w:rPr>
      </w:pPr>
    </w:p>
    <w:p w14:paraId="7F3859F7" w14:textId="23DD54ED" w:rsidR="0059586F" w:rsidRPr="005A0590" w:rsidRDefault="00B96E3C" w:rsidP="0059586F">
      <w:pPr>
        <w:jc w:val="center"/>
        <w:rPr>
          <w:b/>
          <w:sz w:val="28"/>
          <w:lang w:val="lv-LV"/>
        </w:rPr>
      </w:pPr>
      <w:r w:rsidRPr="005A0590">
        <w:rPr>
          <w:b/>
          <w:sz w:val="28"/>
          <w:lang w:val="lv-LV"/>
        </w:rPr>
        <w:t xml:space="preserve">Risk warnings </w:t>
      </w:r>
    </w:p>
    <w:p w14:paraId="2FE064D9" w14:textId="77777777" w:rsidR="0059586F" w:rsidRPr="005A0590" w:rsidRDefault="0059586F" w:rsidP="0059586F">
      <w:pPr>
        <w:rPr>
          <w:sz w:val="28"/>
          <w:lang w:val="lv-LV"/>
        </w:rPr>
      </w:pPr>
    </w:p>
    <w:p w14:paraId="4E89A615" w14:textId="712828A4" w:rsidR="0059586F" w:rsidRPr="005A0590" w:rsidRDefault="007D19EF" w:rsidP="0059586F">
      <w:pPr>
        <w:rPr>
          <w:sz w:val="28"/>
          <w:lang w:val="lv-LV"/>
        </w:rPr>
      </w:pPr>
      <w:r w:rsidRPr="005A0590">
        <w:rPr>
          <w:sz w:val="28"/>
          <w:lang w:val="lv-LV"/>
        </w:rPr>
        <w:t xml:space="preserve">Section </w:t>
      </w:r>
      <w:r w:rsidR="0059586F" w:rsidRPr="005A0590">
        <w:rPr>
          <w:sz w:val="28"/>
          <w:lang w:val="lv-LV"/>
        </w:rPr>
        <w:t xml:space="preserve">A </w:t>
      </w:r>
    </w:p>
    <w:p w14:paraId="11B557E3" w14:textId="77777777" w:rsidR="0059586F" w:rsidRPr="005A0590" w:rsidRDefault="0059586F" w:rsidP="0059586F">
      <w:pPr>
        <w:rPr>
          <w:sz w:val="28"/>
          <w:lang w:val="lv-LV"/>
        </w:rPr>
      </w:pPr>
    </w:p>
    <w:p w14:paraId="74F95449" w14:textId="180A82DE" w:rsidR="0059586F" w:rsidRPr="005A0590" w:rsidRDefault="0063203E" w:rsidP="0059586F">
      <w:pPr>
        <w:rPr>
          <w:b/>
          <w:sz w:val="28"/>
          <w:lang w:val="lv-LV"/>
        </w:rPr>
      </w:pPr>
      <w:r w:rsidRPr="005A0590">
        <w:rPr>
          <w:b/>
          <w:sz w:val="28"/>
          <w:lang w:val="lv-LV"/>
        </w:rPr>
        <w:t>Risk warning conditions</w:t>
      </w:r>
    </w:p>
    <w:p w14:paraId="1C2376E6" w14:textId="77777777" w:rsidR="0059586F" w:rsidRPr="005A0590" w:rsidRDefault="0059586F" w:rsidP="0059586F">
      <w:pPr>
        <w:rPr>
          <w:sz w:val="28"/>
          <w:lang w:val="lv-LV"/>
        </w:rPr>
      </w:pPr>
    </w:p>
    <w:p w14:paraId="17950B22" w14:textId="36C19F63" w:rsidR="00EE3E2A" w:rsidRPr="005A0590" w:rsidRDefault="0059586F" w:rsidP="0059586F">
      <w:pPr>
        <w:pStyle w:val="ListParagraph"/>
        <w:ind w:left="0" w:firstLine="360"/>
        <w:jc w:val="both"/>
        <w:rPr>
          <w:lang w:val="lv-LV"/>
        </w:rPr>
      </w:pPr>
      <w:r w:rsidRPr="005A0590">
        <w:rPr>
          <w:lang w:val="lv-LV"/>
        </w:rPr>
        <w:t xml:space="preserve">1. </w:t>
      </w:r>
      <w:r w:rsidR="0063203E" w:rsidRPr="005A0590">
        <w:rPr>
          <w:shd w:val="clear" w:color="auto" w:fill="FFFFFF"/>
        </w:rPr>
        <w:t>The risk warning shall be in a layout highlighting its importance, in a font size at least equal to the predominant font size and in the same language as that used in the communication or published information</w:t>
      </w:r>
      <w:r w:rsidRPr="005A0590">
        <w:rPr>
          <w:lang w:val="lv-LV"/>
        </w:rPr>
        <w:t>.</w:t>
      </w:r>
    </w:p>
    <w:p w14:paraId="4BD8C5F5" w14:textId="77777777" w:rsidR="0059586F" w:rsidRPr="005A0590" w:rsidRDefault="0059586F" w:rsidP="0059586F">
      <w:pPr>
        <w:pStyle w:val="ListParagraph"/>
        <w:ind w:left="0" w:firstLine="360"/>
        <w:jc w:val="both"/>
        <w:rPr>
          <w:lang w:val="lv-LV"/>
        </w:rPr>
      </w:pPr>
    </w:p>
    <w:p w14:paraId="562F2118" w14:textId="06D8DD0F" w:rsidR="0059586F" w:rsidRPr="005A0590" w:rsidRDefault="0059586F" w:rsidP="0059586F">
      <w:pPr>
        <w:pStyle w:val="ListParagraph"/>
        <w:ind w:left="0" w:firstLine="360"/>
        <w:jc w:val="both"/>
        <w:rPr>
          <w:lang w:val="lv-LV"/>
        </w:rPr>
      </w:pPr>
      <w:r w:rsidRPr="005A0590">
        <w:rPr>
          <w:lang w:val="lv-LV"/>
        </w:rPr>
        <w:t xml:space="preserve">2. </w:t>
      </w:r>
      <w:r w:rsidR="0012198F" w:rsidRPr="005A0590">
        <w:rPr>
          <w:shd w:val="clear" w:color="auto" w:fill="FFFFFF"/>
        </w:rPr>
        <w:t>If the communication or published information is in a durable medium or a webpage, the risk warning shall be in the format specified in Section B</w:t>
      </w:r>
      <w:r w:rsidRPr="005A0590">
        <w:rPr>
          <w:lang w:val="lv-LV"/>
        </w:rPr>
        <w:t>.</w:t>
      </w:r>
    </w:p>
    <w:p w14:paraId="69156E6F" w14:textId="77777777" w:rsidR="0059586F" w:rsidRPr="005A0590" w:rsidRDefault="0059586F" w:rsidP="0059586F">
      <w:pPr>
        <w:pStyle w:val="ListParagraph"/>
        <w:ind w:left="0" w:firstLine="360"/>
        <w:jc w:val="both"/>
        <w:rPr>
          <w:lang w:val="lv-LV"/>
        </w:rPr>
      </w:pPr>
    </w:p>
    <w:p w14:paraId="763A748F" w14:textId="6CA04DC3" w:rsidR="0059586F" w:rsidRPr="005A0590" w:rsidRDefault="0059586F" w:rsidP="0059586F">
      <w:pPr>
        <w:pStyle w:val="ListParagraph"/>
        <w:ind w:left="0" w:firstLine="360"/>
        <w:jc w:val="both"/>
        <w:rPr>
          <w:lang w:val="lv-LV"/>
        </w:rPr>
      </w:pPr>
      <w:r w:rsidRPr="005A0590">
        <w:rPr>
          <w:lang w:val="lv-LV"/>
        </w:rPr>
        <w:t xml:space="preserve">3. </w:t>
      </w:r>
      <w:r w:rsidR="0012198F" w:rsidRPr="005A0590">
        <w:rPr>
          <w:shd w:val="clear" w:color="auto" w:fill="FFFFFF"/>
        </w:rPr>
        <w:t>If the communication or published information is in a medium other than a durable medium or a webpage, the risk warning shall be in the format specified in Section C</w:t>
      </w:r>
      <w:r w:rsidRPr="005A0590">
        <w:rPr>
          <w:lang w:val="lv-LV"/>
        </w:rPr>
        <w:t>.</w:t>
      </w:r>
    </w:p>
    <w:p w14:paraId="3B9682CB" w14:textId="77777777" w:rsidR="0059586F" w:rsidRPr="005A0590" w:rsidRDefault="0059586F" w:rsidP="0059586F">
      <w:pPr>
        <w:pStyle w:val="ListParagraph"/>
        <w:ind w:left="0" w:firstLine="360"/>
        <w:jc w:val="both"/>
        <w:rPr>
          <w:lang w:val="lv-LV"/>
        </w:rPr>
      </w:pPr>
    </w:p>
    <w:p w14:paraId="18246E81" w14:textId="308A8B0D" w:rsidR="0059586F" w:rsidRPr="005A0590" w:rsidRDefault="0059586F" w:rsidP="0059586F">
      <w:pPr>
        <w:pStyle w:val="ListParagraph"/>
        <w:ind w:left="0" w:firstLine="360"/>
        <w:jc w:val="both"/>
        <w:rPr>
          <w:lang w:val="lv-LV"/>
        </w:rPr>
      </w:pPr>
      <w:r w:rsidRPr="005A0590">
        <w:rPr>
          <w:lang w:val="lv-LV"/>
        </w:rPr>
        <w:t xml:space="preserve">4. </w:t>
      </w:r>
      <w:r w:rsidR="0012198F" w:rsidRPr="005A0590">
        <w:rPr>
          <w:shd w:val="clear" w:color="auto" w:fill="FFFFFF"/>
        </w:rPr>
        <w:t>By way of derogation to Paragraphs 2 and 3, if the number of characters contained in the risk warning in the format specified in Section B or C exceeds the character limit permitted in the standard terms of a third party marketing provider, the risk warning may instead be in the format specified in Section D.</w:t>
      </w:r>
    </w:p>
    <w:p w14:paraId="48B00CA6" w14:textId="77777777" w:rsidR="0059586F" w:rsidRPr="005A0590" w:rsidRDefault="0059586F" w:rsidP="0059586F">
      <w:pPr>
        <w:pStyle w:val="ListParagraph"/>
        <w:ind w:left="0" w:firstLine="360"/>
        <w:jc w:val="both"/>
        <w:rPr>
          <w:lang w:val="lv-LV"/>
        </w:rPr>
      </w:pPr>
    </w:p>
    <w:p w14:paraId="24E22894" w14:textId="5943BD47" w:rsidR="0059586F" w:rsidRPr="005A0590" w:rsidRDefault="0059586F" w:rsidP="0059586F">
      <w:pPr>
        <w:pStyle w:val="ListParagraph"/>
        <w:ind w:left="0" w:firstLine="360"/>
        <w:jc w:val="both"/>
        <w:rPr>
          <w:lang w:val="lv-LV"/>
        </w:rPr>
      </w:pPr>
      <w:r w:rsidRPr="005A0590">
        <w:rPr>
          <w:lang w:val="lv-LV"/>
        </w:rPr>
        <w:t xml:space="preserve">5. </w:t>
      </w:r>
      <w:r w:rsidR="001D7EB1" w:rsidRPr="005A0590">
        <w:rPr>
          <w:shd w:val="clear" w:color="auto" w:fill="FFFFFF"/>
        </w:rPr>
        <w:t>If the risk warning in the format specified in Section D is used, the communication or published information shall also include a direct link to the webpage of the CFD provider containing the risk warning in the format specified in Section B.</w:t>
      </w:r>
    </w:p>
    <w:p w14:paraId="133B7B4D" w14:textId="77777777" w:rsidR="0059586F" w:rsidRPr="005A0590" w:rsidRDefault="0059586F" w:rsidP="00CC6B47">
      <w:pPr>
        <w:pStyle w:val="ListParagraph"/>
        <w:ind w:left="0" w:firstLine="360"/>
        <w:jc w:val="both"/>
        <w:rPr>
          <w:lang w:val="lv-LV"/>
        </w:rPr>
      </w:pPr>
    </w:p>
    <w:p w14:paraId="6BF60206" w14:textId="42E57E4A" w:rsidR="0059586F" w:rsidRPr="005A0590" w:rsidRDefault="0059586F" w:rsidP="00CC6B47">
      <w:pPr>
        <w:pStyle w:val="ListParagraph"/>
        <w:ind w:left="0" w:firstLine="360"/>
        <w:jc w:val="both"/>
        <w:rPr>
          <w:lang w:val="lv-LV"/>
        </w:rPr>
      </w:pPr>
      <w:r w:rsidRPr="005A0590">
        <w:rPr>
          <w:lang w:val="lv-LV"/>
        </w:rPr>
        <w:t xml:space="preserve">6. </w:t>
      </w:r>
      <w:r w:rsidR="0097084B" w:rsidRPr="005A0590">
        <w:rPr>
          <w:shd w:val="clear" w:color="auto" w:fill="FFFFFF"/>
        </w:rPr>
        <w:t>The risk warning shall include an up-to-date provider-specific loss percentage based on a calculation of the percentage of CFD trading accounts provided to retail clients by the CFD provider that lost money. The calculation shall be performed every three months and cover the 12-month period preceding the date on which it is performed (</w:t>
      </w:r>
      <w:r w:rsidR="00447CFD" w:rsidRPr="005A0590">
        <w:rPr>
          <w:shd w:val="clear" w:color="auto" w:fill="FFFFFF"/>
        </w:rPr>
        <w:t xml:space="preserve">a </w:t>
      </w:r>
      <w:r w:rsidR="0097084B" w:rsidRPr="005A0590">
        <w:rPr>
          <w:shd w:val="clear" w:color="auto" w:fill="FFFFFF"/>
        </w:rPr>
        <w:t>12-month calculation period). For the purposes of the calculation: </w:t>
      </w:r>
    </w:p>
    <w:p w14:paraId="57B8A434" w14:textId="19D724B1" w:rsidR="0059586F" w:rsidRPr="005A0590" w:rsidRDefault="00CC6B47" w:rsidP="00CC6B47">
      <w:pPr>
        <w:pStyle w:val="ListParagraph"/>
        <w:ind w:left="0" w:firstLine="360"/>
        <w:jc w:val="both"/>
        <w:rPr>
          <w:lang w:val="lv-LV"/>
        </w:rPr>
      </w:pPr>
      <w:r w:rsidRPr="005A0590">
        <w:rPr>
          <w:lang w:val="lv-LV"/>
        </w:rPr>
        <w:t>6.1.</w:t>
      </w:r>
      <w:r w:rsidR="0059586F" w:rsidRPr="005A0590">
        <w:rPr>
          <w:lang w:val="lv-LV"/>
        </w:rPr>
        <w:t xml:space="preserve"> </w:t>
      </w:r>
      <w:r w:rsidR="00447CFD" w:rsidRPr="005A0590">
        <w:rPr>
          <w:shd w:val="clear" w:color="auto" w:fill="FFFFFF"/>
        </w:rPr>
        <w:t>an individual retail client CFD trading account shall be considered to have lost money if the sum of all realised and unrealised net profits on CFDs connected to the CFD trading account during the 12-month calculation period is negative</w:t>
      </w:r>
      <w:r w:rsidR="0059586F" w:rsidRPr="005A0590">
        <w:rPr>
          <w:lang w:val="lv-LV"/>
        </w:rPr>
        <w:t>;</w:t>
      </w:r>
    </w:p>
    <w:p w14:paraId="61803AD3" w14:textId="703CA475" w:rsidR="0059586F" w:rsidRPr="005A0590" w:rsidRDefault="00CC6B47" w:rsidP="00CC6B47">
      <w:pPr>
        <w:pStyle w:val="ListParagraph"/>
        <w:ind w:left="0" w:firstLine="360"/>
        <w:jc w:val="both"/>
        <w:rPr>
          <w:lang w:val="lv-LV"/>
        </w:rPr>
      </w:pPr>
      <w:r w:rsidRPr="005A0590">
        <w:rPr>
          <w:lang w:val="lv-LV"/>
        </w:rPr>
        <w:t>6.2.</w:t>
      </w:r>
      <w:r w:rsidR="0059586F" w:rsidRPr="005A0590">
        <w:rPr>
          <w:lang w:val="lv-LV"/>
        </w:rPr>
        <w:t xml:space="preserve"> </w:t>
      </w:r>
      <w:r w:rsidR="003F0F71" w:rsidRPr="005A0590">
        <w:rPr>
          <w:shd w:val="clear" w:color="auto" w:fill="FFFFFF"/>
        </w:rPr>
        <w:t>any costs relating to the CFDs connected to the CFD trading account shall be included in the calculation, including all charges, fees and commissions</w:t>
      </w:r>
      <w:r w:rsidR="0059586F" w:rsidRPr="005A0590">
        <w:rPr>
          <w:lang w:val="lv-LV"/>
        </w:rPr>
        <w:t>;</w:t>
      </w:r>
    </w:p>
    <w:p w14:paraId="0F5DABFD" w14:textId="2F924AEB" w:rsidR="0059586F" w:rsidRPr="005A0590" w:rsidRDefault="00CC6B47" w:rsidP="00CC6B47">
      <w:pPr>
        <w:pStyle w:val="ListParagraph"/>
        <w:ind w:left="0" w:firstLine="360"/>
        <w:jc w:val="both"/>
        <w:rPr>
          <w:lang w:val="lv-LV"/>
        </w:rPr>
      </w:pPr>
      <w:r w:rsidRPr="005A0590">
        <w:rPr>
          <w:lang w:val="lv-LV"/>
        </w:rPr>
        <w:t>6.3.</w:t>
      </w:r>
      <w:r w:rsidR="0059586F" w:rsidRPr="005A0590">
        <w:rPr>
          <w:lang w:val="lv-LV"/>
        </w:rPr>
        <w:t xml:space="preserve"> </w:t>
      </w:r>
      <w:r w:rsidR="00723469" w:rsidRPr="005A0590">
        <w:rPr>
          <w:shd w:val="clear" w:color="auto" w:fill="FFFFFF"/>
        </w:rPr>
        <w:t>the following items shall be excluded from the calculation</w:t>
      </w:r>
      <w:r w:rsidR="0059586F" w:rsidRPr="005A0590">
        <w:rPr>
          <w:lang w:val="lv-LV"/>
        </w:rPr>
        <w:t>:</w:t>
      </w:r>
    </w:p>
    <w:p w14:paraId="179BBBA4" w14:textId="3BDE6019" w:rsidR="0059586F" w:rsidRPr="005A0590" w:rsidRDefault="00CC6B47" w:rsidP="00192750">
      <w:pPr>
        <w:pStyle w:val="ListParagraph"/>
        <w:ind w:left="0" w:firstLine="360"/>
        <w:jc w:val="both"/>
        <w:rPr>
          <w:lang w:val="lv-LV"/>
        </w:rPr>
      </w:pPr>
      <w:r w:rsidRPr="005A0590">
        <w:rPr>
          <w:lang w:val="lv-LV"/>
        </w:rPr>
        <w:t>6.3.1.</w:t>
      </w:r>
      <w:r w:rsidR="0059586F" w:rsidRPr="005A0590">
        <w:rPr>
          <w:lang w:val="lv-LV"/>
        </w:rPr>
        <w:t xml:space="preserve"> </w:t>
      </w:r>
      <w:r w:rsidR="00282C5C" w:rsidRPr="005A0590">
        <w:rPr>
          <w:shd w:val="clear" w:color="auto" w:fill="FFFFFF"/>
        </w:rPr>
        <w:t>any CFD trading account that did not have an open CFD connected to it within the calculation period</w:t>
      </w:r>
      <w:r w:rsidR="0059586F" w:rsidRPr="005A0590">
        <w:rPr>
          <w:lang w:val="lv-LV"/>
        </w:rPr>
        <w:t>;</w:t>
      </w:r>
    </w:p>
    <w:p w14:paraId="4C7A34EE" w14:textId="0F089F5E" w:rsidR="0059586F" w:rsidRPr="005A0590" w:rsidRDefault="00CC6B47" w:rsidP="00CC6B47">
      <w:pPr>
        <w:pStyle w:val="ListParagraph"/>
        <w:ind w:left="0" w:firstLine="360"/>
        <w:jc w:val="both"/>
        <w:rPr>
          <w:lang w:val="lv-LV"/>
        </w:rPr>
      </w:pPr>
      <w:r w:rsidRPr="005A0590">
        <w:rPr>
          <w:lang w:val="lv-LV"/>
        </w:rPr>
        <w:t>6.3.2.</w:t>
      </w:r>
      <w:r w:rsidR="0059586F" w:rsidRPr="005A0590">
        <w:rPr>
          <w:lang w:val="lv-LV"/>
        </w:rPr>
        <w:t xml:space="preserve"> </w:t>
      </w:r>
      <w:r w:rsidR="00164B29" w:rsidRPr="005A0590">
        <w:rPr>
          <w:shd w:val="clear" w:color="auto" w:fill="FFFFFF"/>
        </w:rPr>
        <w:t>any profits or losses from products other than CFDs connected to the CFD trading account</w:t>
      </w:r>
      <w:r w:rsidR="0059586F" w:rsidRPr="005A0590">
        <w:rPr>
          <w:lang w:val="lv-LV"/>
        </w:rPr>
        <w:t>;</w:t>
      </w:r>
    </w:p>
    <w:p w14:paraId="074D6AB4" w14:textId="0D66C99A" w:rsidR="0059586F" w:rsidRPr="005A0590" w:rsidRDefault="00CC6B47" w:rsidP="00CC6B47">
      <w:pPr>
        <w:pStyle w:val="ListParagraph"/>
        <w:ind w:left="0" w:firstLine="360"/>
        <w:jc w:val="both"/>
        <w:rPr>
          <w:lang w:val="lv-LV"/>
        </w:rPr>
      </w:pPr>
      <w:r w:rsidRPr="005A0590">
        <w:rPr>
          <w:lang w:val="lv-LV"/>
        </w:rPr>
        <w:t>6.3.3.</w:t>
      </w:r>
      <w:r w:rsidR="0059586F" w:rsidRPr="005A0590">
        <w:rPr>
          <w:lang w:val="lv-LV"/>
        </w:rPr>
        <w:t xml:space="preserve"> </w:t>
      </w:r>
      <w:r w:rsidR="00FE6AB9" w:rsidRPr="005A0590">
        <w:rPr>
          <w:rFonts w:ascii="Roboto" w:hAnsi="Roboto"/>
          <w:color w:val="444444"/>
          <w:sz w:val="20"/>
          <w:szCs w:val="20"/>
          <w:shd w:val="clear" w:color="auto" w:fill="FFFFFF"/>
        </w:rPr>
        <w:t> </w:t>
      </w:r>
      <w:r w:rsidR="00FE6AB9" w:rsidRPr="005A0590">
        <w:rPr>
          <w:shd w:val="clear" w:color="auto" w:fill="FFFFFF"/>
        </w:rPr>
        <w:t>any deposits or withdrawals of funds from the CFD trading account</w:t>
      </w:r>
      <w:r w:rsidRPr="005A0590">
        <w:rPr>
          <w:lang w:val="lv-LV"/>
        </w:rPr>
        <w:t>.</w:t>
      </w:r>
    </w:p>
    <w:p w14:paraId="40031F82" w14:textId="77777777" w:rsidR="00D23B6A" w:rsidRPr="005A0590" w:rsidRDefault="00D23B6A" w:rsidP="00CC6B47">
      <w:pPr>
        <w:ind w:firstLine="360"/>
        <w:rPr>
          <w:lang w:val="lv-LV"/>
        </w:rPr>
      </w:pPr>
    </w:p>
    <w:p w14:paraId="52DC86D5" w14:textId="5B56C438" w:rsidR="00016774" w:rsidRPr="005A0590" w:rsidRDefault="00D23B6A" w:rsidP="00D23B6A">
      <w:pPr>
        <w:pStyle w:val="ListParagraph"/>
        <w:ind w:left="0" w:firstLine="360"/>
        <w:jc w:val="both"/>
        <w:rPr>
          <w:sz w:val="28"/>
          <w:lang w:val="lv-LV"/>
        </w:rPr>
      </w:pPr>
      <w:r w:rsidRPr="005A0590">
        <w:rPr>
          <w:lang w:val="lv-LV"/>
        </w:rPr>
        <w:t xml:space="preserve">7. </w:t>
      </w:r>
      <w:r w:rsidR="00ED71FB" w:rsidRPr="005A0590">
        <w:rPr>
          <w:rFonts w:ascii="Roboto" w:hAnsi="Roboto"/>
          <w:sz w:val="20"/>
          <w:szCs w:val="20"/>
          <w:shd w:val="clear" w:color="auto" w:fill="FFFFFF"/>
        </w:rPr>
        <w:t> </w:t>
      </w:r>
      <w:r w:rsidR="00ED71FB" w:rsidRPr="005A0590">
        <w:rPr>
          <w:shd w:val="clear" w:color="auto" w:fill="FFFFFF"/>
        </w:rPr>
        <w:t xml:space="preserve">By way of derogation from paragraphs 2 to 6, if in the last 12-month calculation period a CFD provider has not provided an open CFD connected to a retail client CFD trading </w:t>
      </w:r>
      <w:r w:rsidR="00ED71FB" w:rsidRPr="005A0590">
        <w:rPr>
          <w:shd w:val="clear" w:color="auto" w:fill="FFFFFF"/>
        </w:rPr>
        <w:lastRenderedPageBreak/>
        <w:t>account, that CFD provider shall use the standard risk warning in the format specified in Sections E to G, as appropriate</w:t>
      </w:r>
      <w:r w:rsidRPr="005A0590">
        <w:rPr>
          <w:lang w:val="lv-LV"/>
        </w:rPr>
        <w:t>.</w:t>
      </w:r>
    </w:p>
    <w:p w14:paraId="712D7397" w14:textId="77777777" w:rsidR="00D23B6A" w:rsidRPr="005A0590" w:rsidRDefault="00D23B6A">
      <w:pPr>
        <w:rPr>
          <w:sz w:val="28"/>
          <w:lang w:val="lv-LV"/>
        </w:rPr>
      </w:pPr>
    </w:p>
    <w:p w14:paraId="77B85C5E" w14:textId="3357E364" w:rsidR="00016774" w:rsidRPr="005A0590" w:rsidRDefault="00544001" w:rsidP="00016774">
      <w:pPr>
        <w:rPr>
          <w:sz w:val="28"/>
          <w:lang w:val="lv-LV"/>
        </w:rPr>
      </w:pPr>
      <w:r w:rsidRPr="005A0590">
        <w:rPr>
          <w:sz w:val="28"/>
          <w:lang w:val="lv-LV"/>
        </w:rPr>
        <w:t xml:space="preserve">Section </w:t>
      </w:r>
      <w:r w:rsidR="00016774" w:rsidRPr="005A0590">
        <w:rPr>
          <w:sz w:val="28"/>
          <w:lang w:val="lv-LV"/>
        </w:rPr>
        <w:t xml:space="preserve">B </w:t>
      </w:r>
    </w:p>
    <w:p w14:paraId="76BC6D5E" w14:textId="77777777" w:rsidR="00016774" w:rsidRPr="005A0590" w:rsidRDefault="00016774" w:rsidP="00016774">
      <w:pPr>
        <w:rPr>
          <w:sz w:val="28"/>
          <w:lang w:val="lv-LV"/>
        </w:rPr>
      </w:pPr>
    </w:p>
    <w:p w14:paraId="35BCACA7" w14:textId="633DDAA3" w:rsidR="00016774" w:rsidRPr="005A0590" w:rsidRDefault="009C0602" w:rsidP="00016774">
      <w:pPr>
        <w:rPr>
          <w:b/>
          <w:sz w:val="28"/>
          <w:szCs w:val="28"/>
          <w:lang w:val="lv-LV"/>
        </w:rPr>
      </w:pPr>
      <w:r w:rsidRPr="005A0590">
        <w:rPr>
          <w:b/>
          <w:sz w:val="28"/>
          <w:szCs w:val="28"/>
          <w:shd w:val="clear" w:color="auto" w:fill="FFFFFF"/>
        </w:rPr>
        <w:t xml:space="preserve">Durable medium and webpage provider-specific risk warning </w:t>
      </w:r>
    </w:p>
    <w:p w14:paraId="2238661A" w14:textId="77777777" w:rsidR="00016774" w:rsidRPr="005A0590" w:rsidRDefault="00016774" w:rsidP="00AB688A">
      <w:pPr>
        <w:ind w:firstLine="567"/>
        <w:rPr>
          <w:sz w:val="28"/>
          <w:lang w:val="lv-LV"/>
        </w:rPr>
      </w:pPr>
    </w:p>
    <w:p w14:paraId="68B1A858" w14:textId="77777777" w:rsidR="00016774" w:rsidRPr="005A0590" w:rsidRDefault="00016774" w:rsidP="008E655E">
      <w:pPr>
        <w:pStyle w:val="ListParagraph"/>
        <w:pBdr>
          <w:top w:val="single" w:sz="4" w:space="1" w:color="auto"/>
          <w:left w:val="single" w:sz="4" w:space="4" w:color="auto"/>
          <w:bottom w:val="single" w:sz="4" w:space="1" w:color="auto"/>
          <w:right w:val="single" w:sz="4" w:space="4" w:color="auto"/>
        </w:pBdr>
        <w:ind w:left="0"/>
        <w:jc w:val="both"/>
        <w:rPr>
          <w:lang w:val="lv-LV"/>
        </w:rPr>
      </w:pPr>
    </w:p>
    <w:p w14:paraId="69D19927" w14:textId="77777777" w:rsidR="006646AC" w:rsidRPr="005A0590" w:rsidRDefault="0073392E" w:rsidP="008E655E">
      <w:pPr>
        <w:pStyle w:val="ListParagraph"/>
        <w:pBdr>
          <w:top w:val="single" w:sz="4" w:space="1" w:color="auto"/>
          <w:left w:val="single" w:sz="4" w:space="4" w:color="auto"/>
          <w:bottom w:val="single" w:sz="4" w:space="1" w:color="auto"/>
          <w:right w:val="single" w:sz="4" w:space="4" w:color="auto"/>
        </w:pBdr>
        <w:ind w:left="0"/>
        <w:rPr>
          <w:b/>
          <w:i/>
          <w:lang w:val="lv-LV"/>
        </w:rPr>
      </w:pPr>
      <w:r w:rsidRPr="005A0590">
        <w:rPr>
          <w:color w:val="000000"/>
        </w:rPr>
        <w:t>CFDs are complex instruments and come with a high risk of losing money rapidly due to leverage</w:t>
      </w:r>
      <w:r w:rsidR="00016774" w:rsidRPr="005A0590">
        <w:rPr>
          <w:lang w:val="lv-LV"/>
        </w:rPr>
        <w:t>.</w:t>
      </w:r>
      <w:r w:rsidR="00AB688A" w:rsidRPr="005A0590">
        <w:rPr>
          <w:lang w:val="lv-LV"/>
        </w:rPr>
        <w:br/>
      </w:r>
      <w:r w:rsidR="00AB688A" w:rsidRPr="005A0590">
        <w:rPr>
          <w:b/>
          <w:lang w:val="lv-LV"/>
        </w:rPr>
        <w:br/>
      </w:r>
      <w:r w:rsidRPr="005A0590">
        <w:rPr>
          <w:b/>
          <w:i/>
          <w:shd w:val="clear" w:color="auto" w:fill="FFFFFF"/>
        </w:rPr>
        <w:t xml:space="preserve">[insert percentage per provider] </w:t>
      </w:r>
      <w:r w:rsidRPr="005A0590">
        <w:rPr>
          <w:b/>
          <w:shd w:val="clear" w:color="auto" w:fill="FFFFFF"/>
        </w:rPr>
        <w:t>% of retail investor accounts</w:t>
      </w:r>
      <w:r w:rsidR="006646AC" w:rsidRPr="005A0590">
        <w:rPr>
          <w:b/>
          <w:shd w:val="clear" w:color="auto" w:fill="FFFFFF"/>
        </w:rPr>
        <w:t xml:space="preserve"> of</w:t>
      </w:r>
      <w:r w:rsidRPr="005A0590">
        <w:rPr>
          <w:b/>
          <w:i/>
          <w:shd w:val="clear" w:color="auto" w:fill="FFFFFF"/>
        </w:rPr>
        <w:t xml:space="preserve"> </w:t>
      </w:r>
      <w:r w:rsidR="006646AC" w:rsidRPr="005A0590">
        <w:rPr>
          <w:b/>
          <w:i/>
          <w:shd w:val="clear" w:color="auto" w:fill="FFFFFF"/>
        </w:rPr>
        <w:t xml:space="preserve">[insert the name of provider] </w:t>
      </w:r>
      <w:r w:rsidRPr="005A0590">
        <w:rPr>
          <w:b/>
          <w:shd w:val="clear" w:color="auto" w:fill="FFFFFF"/>
        </w:rPr>
        <w:t>lose money when trading CFDs with this provider</w:t>
      </w:r>
      <w:r w:rsidRPr="005A0590">
        <w:rPr>
          <w:b/>
          <w:i/>
          <w:shd w:val="clear" w:color="auto" w:fill="FFFFFF"/>
        </w:rPr>
        <w:t>.</w:t>
      </w:r>
      <w:r w:rsidRPr="005A0590">
        <w:rPr>
          <w:b/>
          <w:i/>
          <w:lang w:val="lv-LV"/>
        </w:rPr>
        <w:t xml:space="preserve"> </w:t>
      </w:r>
    </w:p>
    <w:p w14:paraId="02941AF4" w14:textId="49EBD476" w:rsidR="00016774" w:rsidRPr="005A0590" w:rsidRDefault="00AB688A" w:rsidP="008E655E">
      <w:pPr>
        <w:pStyle w:val="ListParagraph"/>
        <w:pBdr>
          <w:top w:val="single" w:sz="4" w:space="1" w:color="auto"/>
          <w:left w:val="single" w:sz="4" w:space="4" w:color="auto"/>
          <w:bottom w:val="single" w:sz="4" w:space="1" w:color="auto"/>
          <w:right w:val="single" w:sz="4" w:space="4" w:color="auto"/>
        </w:pBdr>
        <w:ind w:left="0"/>
        <w:rPr>
          <w:lang w:val="lv-LV"/>
        </w:rPr>
      </w:pPr>
      <w:r w:rsidRPr="005A0590">
        <w:rPr>
          <w:lang w:val="lv-LV"/>
        </w:rPr>
        <w:br/>
      </w:r>
      <w:r w:rsidR="006646AC" w:rsidRPr="005A0590">
        <w:rPr>
          <w:color w:val="000000"/>
        </w:rPr>
        <w:t>You should consider whether you understand how CFDs work and whether you can afford to take the high risk of losing your money</w:t>
      </w:r>
      <w:r w:rsidR="00016774" w:rsidRPr="005A0590">
        <w:rPr>
          <w:lang w:val="lv-LV"/>
        </w:rPr>
        <w:t>.</w:t>
      </w:r>
    </w:p>
    <w:p w14:paraId="06DAB419" w14:textId="77777777" w:rsidR="0059586F" w:rsidRPr="005A0590" w:rsidRDefault="0059586F" w:rsidP="008E655E">
      <w:pPr>
        <w:pStyle w:val="ListParagraph"/>
        <w:pBdr>
          <w:top w:val="single" w:sz="4" w:space="1" w:color="auto"/>
          <w:left w:val="single" w:sz="4" w:space="4" w:color="auto"/>
          <w:bottom w:val="single" w:sz="4" w:space="1" w:color="auto"/>
          <w:right w:val="single" w:sz="4" w:space="4" w:color="auto"/>
        </w:pBdr>
        <w:ind w:left="0" w:firstLine="360"/>
        <w:jc w:val="both"/>
        <w:rPr>
          <w:lang w:val="lv-LV"/>
        </w:rPr>
      </w:pPr>
    </w:p>
    <w:p w14:paraId="0F3BD211" w14:textId="77777777" w:rsidR="00AB688A" w:rsidRPr="005A0590" w:rsidRDefault="00AB688A" w:rsidP="00AB688A">
      <w:pPr>
        <w:rPr>
          <w:sz w:val="28"/>
          <w:lang w:val="lv-LV"/>
        </w:rPr>
      </w:pPr>
    </w:p>
    <w:p w14:paraId="04F69C61" w14:textId="07810EC7" w:rsidR="00AB688A" w:rsidRPr="005A0590" w:rsidRDefault="00544001" w:rsidP="00AB688A">
      <w:pPr>
        <w:rPr>
          <w:sz w:val="28"/>
          <w:lang w:val="lv-LV"/>
        </w:rPr>
      </w:pPr>
      <w:r w:rsidRPr="005A0590">
        <w:rPr>
          <w:sz w:val="28"/>
          <w:lang w:val="lv-LV"/>
        </w:rPr>
        <w:t xml:space="preserve">Section </w:t>
      </w:r>
      <w:r w:rsidR="00AB688A" w:rsidRPr="005A0590">
        <w:rPr>
          <w:sz w:val="28"/>
          <w:lang w:val="lv-LV"/>
        </w:rPr>
        <w:t>C</w:t>
      </w:r>
    </w:p>
    <w:p w14:paraId="03D9E10A" w14:textId="77777777" w:rsidR="00AB688A" w:rsidRPr="005A0590" w:rsidRDefault="00AB688A" w:rsidP="00AB688A">
      <w:pPr>
        <w:rPr>
          <w:sz w:val="28"/>
          <w:lang w:val="lv-LV"/>
        </w:rPr>
      </w:pPr>
    </w:p>
    <w:p w14:paraId="589AE368" w14:textId="208D669A" w:rsidR="00AB688A" w:rsidRPr="005A0590" w:rsidRDefault="000849B9" w:rsidP="00AB688A">
      <w:pPr>
        <w:rPr>
          <w:b/>
          <w:sz w:val="28"/>
          <w:lang w:val="lv-LV"/>
        </w:rPr>
      </w:pPr>
      <w:r w:rsidRPr="005A0590">
        <w:rPr>
          <w:b/>
          <w:sz w:val="28"/>
          <w:szCs w:val="28"/>
          <w:shd w:val="clear" w:color="auto" w:fill="FFFFFF"/>
        </w:rPr>
        <w:t>Abbreviated provider-specific risk</w:t>
      </w:r>
      <w:r w:rsidRPr="005A0590">
        <w:rPr>
          <w:b/>
          <w:sz w:val="28"/>
          <w:lang w:val="lv-LV"/>
        </w:rPr>
        <w:t xml:space="preserve"> warning </w:t>
      </w:r>
    </w:p>
    <w:p w14:paraId="4912F9C4" w14:textId="77777777" w:rsidR="00AB688A" w:rsidRPr="005A0590" w:rsidRDefault="00AB688A" w:rsidP="00AB688A">
      <w:pPr>
        <w:rPr>
          <w:sz w:val="28"/>
          <w:lang w:val="lv-LV"/>
        </w:rPr>
      </w:pPr>
    </w:p>
    <w:p w14:paraId="7804A26D" w14:textId="77777777" w:rsidR="00AB688A" w:rsidRPr="005A0590" w:rsidRDefault="00AB688A" w:rsidP="008E655E">
      <w:pPr>
        <w:pBdr>
          <w:top w:val="single" w:sz="4" w:space="1" w:color="auto"/>
          <w:left w:val="single" w:sz="4" w:space="4" w:color="auto"/>
          <w:bottom w:val="single" w:sz="4" w:space="1" w:color="auto"/>
          <w:right w:val="single" w:sz="4" w:space="4" w:color="auto"/>
        </w:pBdr>
        <w:rPr>
          <w:lang w:val="lv-LV"/>
        </w:rPr>
      </w:pPr>
    </w:p>
    <w:p w14:paraId="64D821B6" w14:textId="6B095FC3" w:rsidR="00AB688A" w:rsidRPr="005A0590" w:rsidRDefault="00CB61C9" w:rsidP="008E655E">
      <w:pPr>
        <w:pBdr>
          <w:top w:val="single" w:sz="4" w:space="1" w:color="auto"/>
          <w:left w:val="single" w:sz="4" w:space="4" w:color="auto"/>
          <w:bottom w:val="single" w:sz="4" w:space="1" w:color="auto"/>
          <w:right w:val="single" w:sz="4" w:space="4" w:color="auto"/>
        </w:pBdr>
        <w:rPr>
          <w:lang w:val="lv-LV"/>
        </w:rPr>
      </w:pPr>
      <w:r w:rsidRPr="005A0590">
        <w:rPr>
          <w:b/>
          <w:i/>
          <w:shd w:val="clear" w:color="auto" w:fill="FFFFFF"/>
        </w:rPr>
        <w:t>[insert percentage per provider]</w:t>
      </w:r>
      <w:r w:rsidRPr="005A0590">
        <w:rPr>
          <w:b/>
          <w:shd w:val="clear" w:color="auto" w:fill="FFFFFF"/>
        </w:rPr>
        <w:t xml:space="preserve"> % of retail investor accounts of </w:t>
      </w:r>
      <w:r w:rsidRPr="005A0590">
        <w:rPr>
          <w:b/>
          <w:i/>
          <w:shd w:val="clear" w:color="auto" w:fill="FFFFFF"/>
        </w:rPr>
        <w:t xml:space="preserve">[insert the name of provider] </w:t>
      </w:r>
      <w:r w:rsidRPr="005A0590">
        <w:rPr>
          <w:b/>
          <w:shd w:val="clear" w:color="auto" w:fill="FFFFFF"/>
        </w:rPr>
        <w:t>lose money when trading CFDs with this provider</w:t>
      </w:r>
      <w:r w:rsidRPr="005A0590">
        <w:rPr>
          <w:rFonts w:ascii="Roboto" w:hAnsi="Roboto"/>
          <w:b/>
          <w:sz w:val="20"/>
          <w:szCs w:val="20"/>
          <w:shd w:val="clear" w:color="auto" w:fill="FFFFFF"/>
        </w:rPr>
        <w:t>. </w:t>
      </w:r>
      <w:r w:rsidRPr="005A0590">
        <w:rPr>
          <w:b/>
          <w:lang w:val="lv-LV"/>
        </w:rPr>
        <w:t xml:space="preserve"> </w:t>
      </w:r>
      <w:r w:rsidR="00AB688A" w:rsidRPr="005A0590">
        <w:rPr>
          <w:b/>
          <w:lang w:val="lv-LV"/>
        </w:rPr>
        <w:br/>
      </w:r>
      <w:r w:rsidR="00AB688A" w:rsidRPr="005A0590">
        <w:rPr>
          <w:lang w:val="lv-LV"/>
        </w:rPr>
        <w:br/>
      </w:r>
      <w:r w:rsidRPr="005A0590">
        <w:t>You should consider whether you can afford to take the high risk of losing your money</w:t>
      </w:r>
      <w:r w:rsidR="00AB688A" w:rsidRPr="005A0590">
        <w:rPr>
          <w:lang w:val="lv-LV"/>
        </w:rPr>
        <w:t>.</w:t>
      </w:r>
    </w:p>
    <w:p w14:paraId="52923588" w14:textId="77777777" w:rsidR="00AB688A" w:rsidRPr="005A0590" w:rsidRDefault="00AB688A" w:rsidP="008E655E">
      <w:pPr>
        <w:pBdr>
          <w:top w:val="single" w:sz="4" w:space="1" w:color="auto"/>
          <w:left w:val="single" w:sz="4" w:space="4" w:color="auto"/>
          <w:bottom w:val="single" w:sz="4" w:space="1" w:color="auto"/>
          <w:right w:val="single" w:sz="4" w:space="4" w:color="auto"/>
        </w:pBdr>
        <w:rPr>
          <w:sz w:val="28"/>
          <w:lang w:val="lv-LV"/>
        </w:rPr>
      </w:pPr>
    </w:p>
    <w:p w14:paraId="4E1C8A42" w14:textId="77777777" w:rsidR="00AB688A" w:rsidRPr="005A0590" w:rsidRDefault="00AB688A" w:rsidP="00AB688A">
      <w:pPr>
        <w:pStyle w:val="ListParagraph"/>
        <w:ind w:left="0"/>
        <w:jc w:val="both"/>
        <w:rPr>
          <w:lang w:val="lv-LV"/>
        </w:rPr>
      </w:pPr>
    </w:p>
    <w:p w14:paraId="37F0D660" w14:textId="3CFA22F0" w:rsidR="00AB688A" w:rsidRPr="005A0590" w:rsidRDefault="00544001" w:rsidP="00AB688A">
      <w:pPr>
        <w:rPr>
          <w:sz w:val="28"/>
          <w:lang w:val="lv-LV"/>
        </w:rPr>
      </w:pPr>
      <w:r w:rsidRPr="005A0590">
        <w:rPr>
          <w:sz w:val="28"/>
          <w:lang w:val="lv-LV"/>
        </w:rPr>
        <w:t xml:space="preserve">Section </w:t>
      </w:r>
      <w:r w:rsidR="00AB688A" w:rsidRPr="005A0590">
        <w:rPr>
          <w:sz w:val="28"/>
          <w:lang w:val="lv-LV"/>
        </w:rPr>
        <w:t>D</w:t>
      </w:r>
    </w:p>
    <w:p w14:paraId="2D5CF6E5" w14:textId="77777777" w:rsidR="00AB688A" w:rsidRPr="005A0590" w:rsidRDefault="00AB688A" w:rsidP="00AB688A">
      <w:pPr>
        <w:rPr>
          <w:sz w:val="28"/>
          <w:lang w:val="lv-LV"/>
        </w:rPr>
      </w:pPr>
    </w:p>
    <w:p w14:paraId="627876BF" w14:textId="6BE87A00" w:rsidR="00AB688A" w:rsidRPr="005A0590" w:rsidRDefault="00DF58C2" w:rsidP="00AB688A">
      <w:pPr>
        <w:rPr>
          <w:b/>
          <w:sz w:val="28"/>
          <w:lang w:val="lv-LV"/>
        </w:rPr>
      </w:pPr>
      <w:r w:rsidRPr="005A0590">
        <w:rPr>
          <w:b/>
          <w:sz w:val="28"/>
          <w:szCs w:val="28"/>
          <w:shd w:val="clear" w:color="auto" w:fill="FFFFFF"/>
        </w:rPr>
        <w:t>Reduced character provider-specific risk warning</w:t>
      </w:r>
    </w:p>
    <w:p w14:paraId="42706922" w14:textId="77777777" w:rsidR="00AB688A" w:rsidRPr="005A0590" w:rsidRDefault="00AB688A" w:rsidP="00AB688A">
      <w:pPr>
        <w:rPr>
          <w:b/>
          <w:sz w:val="28"/>
          <w:lang w:val="lv-LV"/>
        </w:rPr>
      </w:pPr>
    </w:p>
    <w:p w14:paraId="6D7E1ED5" w14:textId="77777777" w:rsidR="00AB688A" w:rsidRPr="005A0590" w:rsidRDefault="00AB688A" w:rsidP="008E655E">
      <w:pPr>
        <w:pBdr>
          <w:top w:val="single" w:sz="4" w:space="1" w:color="auto"/>
          <w:left w:val="single" w:sz="4" w:space="4" w:color="auto"/>
          <w:bottom w:val="single" w:sz="4" w:space="1" w:color="auto"/>
          <w:right w:val="single" w:sz="4" w:space="4" w:color="auto"/>
        </w:pBdr>
        <w:rPr>
          <w:b/>
          <w:sz w:val="28"/>
          <w:lang w:val="lv-LV"/>
        </w:rPr>
      </w:pPr>
    </w:p>
    <w:p w14:paraId="1A71B749" w14:textId="6BDC6ABD" w:rsidR="00AB688A" w:rsidRPr="005A0590" w:rsidRDefault="00704E85" w:rsidP="008E655E">
      <w:pPr>
        <w:pBdr>
          <w:top w:val="single" w:sz="4" w:space="1" w:color="auto"/>
          <w:left w:val="single" w:sz="4" w:space="4" w:color="auto"/>
          <w:bottom w:val="single" w:sz="4" w:space="1" w:color="auto"/>
          <w:right w:val="single" w:sz="4" w:space="4" w:color="auto"/>
        </w:pBdr>
        <w:rPr>
          <w:b/>
          <w:sz w:val="28"/>
          <w:lang w:val="lv-LV"/>
        </w:rPr>
      </w:pPr>
      <w:r w:rsidRPr="005A0590">
        <w:rPr>
          <w:b/>
          <w:i/>
          <w:shd w:val="clear" w:color="auto" w:fill="FFFFFF"/>
        </w:rPr>
        <w:t>[insert percentage per provider]</w:t>
      </w:r>
      <w:r w:rsidRPr="005A0590">
        <w:rPr>
          <w:b/>
          <w:shd w:val="clear" w:color="auto" w:fill="FFFFFF"/>
        </w:rPr>
        <w:t xml:space="preserve"> % of retail investor accounts of </w:t>
      </w:r>
      <w:r w:rsidRPr="005A0590">
        <w:rPr>
          <w:b/>
          <w:i/>
          <w:shd w:val="clear" w:color="auto" w:fill="FFFFFF"/>
        </w:rPr>
        <w:t xml:space="preserve">[insert the name of provider] </w:t>
      </w:r>
      <w:r w:rsidRPr="005A0590">
        <w:rPr>
          <w:b/>
          <w:shd w:val="clear" w:color="auto" w:fill="FFFFFF"/>
        </w:rPr>
        <w:t>lose money</w:t>
      </w:r>
      <w:r w:rsidR="00AB688A" w:rsidRPr="005A0590">
        <w:rPr>
          <w:b/>
          <w:lang w:val="lv-LV"/>
        </w:rPr>
        <w:t>.</w:t>
      </w:r>
    </w:p>
    <w:p w14:paraId="17912032" w14:textId="77777777" w:rsidR="00AB688A" w:rsidRPr="005A0590" w:rsidRDefault="00AB688A" w:rsidP="008E655E">
      <w:pPr>
        <w:pBdr>
          <w:top w:val="single" w:sz="4" w:space="1" w:color="auto"/>
          <w:left w:val="single" w:sz="4" w:space="4" w:color="auto"/>
          <w:bottom w:val="single" w:sz="4" w:space="1" w:color="auto"/>
          <w:right w:val="single" w:sz="4" w:space="4" w:color="auto"/>
        </w:pBdr>
        <w:rPr>
          <w:b/>
          <w:sz w:val="28"/>
          <w:lang w:val="lv-LV"/>
        </w:rPr>
      </w:pPr>
    </w:p>
    <w:p w14:paraId="358CEC3E" w14:textId="77777777" w:rsidR="00AB688A" w:rsidRPr="005A0590" w:rsidRDefault="00AB688A" w:rsidP="00AB688A">
      <w:pPr>
        <w:rPr>
          <w:sz w:val="28"/>
          <w:lang w:val="lv-LV"/>
        </w:rPr>
      </w:pPr>
    </w:p>
    <w:p w14:paraId="7A4FC456" w14:textId="77777777" w:rsidR="008E655E" w:rsidRPr="005A0590" w:rsidRDefault="008E655E">
      <w:pPr>
        <w:rPr>
          <w:sz w:val="28"/>
          <w:lang w:val="lv-LV"/>
        </w:rPr>
      </w:pPr>
      <w:r w:rsidRPr="005A0590">
        <w:rPr>
          <w:sz w:val="28"/>
          <w:lang w:val="lv-LV"/>
        </w:rPr>
        <w:br w:type="page"/>
      </w:r>
    </w:p>
    <w:p w14:paraId="612C11D3" w14:textId="71B1CCB8" w:rsidR="00AB688A" w:rsidRPr="005A0590" w:rsidRDefault="00544001" w:rsidP="00AB688A">
      <w:pPr>
        <w:rPr>
          <w:sz w:val="28"/>
          <w:lang w:val="lv-LV"/>
        </w:rPr>
      </w:pPr>
      <w:r w:rsidRPr="005A0590">
        <w:rPr>
          <w:sz w:val="28"/>
          <w:lang w:val="lv-LV"/>
        </w:rPr>
        <w:lastRenderedPageBreak/>
        <w:t xml:space="preserve">Section </w:t>
      </w:r>
      <w:r w:rsidR="00AB688A" w:rsidRPr="005A0590">
        <w:rPr>
          <w:sz w:val="28"/>
          <w:lang w:val="lv-LV"/>
        </w:rPr>
        <w:t xml:space="preserve">E </w:t>
      </w:r>
    </w:p>
    <w:p w14:paraId="72B4ABC8" w14:textId="77777777" w:rsidR="00AB688A" w:rsidRPr="005A0590" w:rsidRDefault="00AB688A" w:rsidP="00AB688A">
      <w:pPr>
        <w:rPr>
          <w:sz w:val="28"/>
          <w:lang w:val="lv-LV"/>
        </w:rPr>
      </w:pPr>
    </w:p>
    <w:p w14:paraId="182F1996" w14:textId="4D5622BE" w:rsidR="00AB688A" w:rsidRPr="005A0590" w:rsidRDefault="003C329E" w:rsidP="00AB688A">
      <w:pPr>
        <w:rPr>
          <w:b/>
          <w:sz w:val="28"/>
          <w:lang w:val="lv-LV"/>
        </w:rPr>
      </w:pPr>
      <w:r w:rsidRPr="005A0590">
        <w:rPr>
          <w:b/>
          <w:sz w:val="28"/>
          <w:szCs w:val="28"/>
          <w:shd w:val="clear" w:color="auto" w:fill="FFFFFF"/>
        </w:rPr>
        <w:t xml:space="preserve">Durable medium and webpage standard risk warning </w:t>
      </w:r>
    </w:p>
    <w:p w14:paraId="61F541C4" w14:textId="77777777" w:rsidR="00AB688A" w:rsidRPr="005A0590" w:rsidRDefault="00AB688A" w:rsidP="00AB688A">
      <w:pPr>
        <w:rPr>
          <w:b/>
          <w:sz w:val="28"/>
          <w:lang w:val="lv-LV"/>
        </w:rPr>
      </w:pPr>
    </w:p>
    <w:p w14:paraId="18E8F7D6" w14:textId="77777777" w:rsidR="00AB688A" w:rsidRPr="005A0590" w:rsidRDefault="00AB688A" w:rsidP="008E655E">
      <w:pPr>
        <w:pBdr>
          <w:top w:val="single" w:sz="4" w:space="1" w:color="auto"/>
          <w:left w:val="single" w:sz="4" w:space="4" w:color="auto"/>
          <w:bottom w:val="single" w:sz="4" w:space="1" w:color="auto"/>
          <w:right w:val="single" w:sz="4" w:space="4" w:color="auto"/>
        </w:pBdr>
        <w:rPr>
          <w:b/>
          <w:sz w:val="28"/>
          <w:lang w:val="lv-LV"/>
        </w:rPr>
      </w:pPr>
    </w:p>
    <w:p w14:paraId="3C789B58" w14:textId="57B34257" w:rsidR="00AB688A" w:rsidRPr="005A0590" w:rsidRDefault="00544001" w:rsidP="008E655E">
      <w:pPr>
        <w:pBdr>
          <w:top w:val="single" w:sz="4" w:space="1" w:color="auto"/>
          <w:left w:val="single" w:sz="4" w:space="4" w:color="auto"/>
          <w:bottom w:val="single" w:sz="4" w:space="1" w:color="auto"/>
          <w:right w:val="single" w:sz="4" w:space="4" w:color="auto"/>
        </w:pBdr>
        <w:rPr>
          <w:lang w:val="lv-LV"/>
        </w:rPr>
      </w:pPr>
      <w:r w:rsidRPr="005A0590">
        <w:rPr>
          <w:color w:val="000000"/>
        </w:rPr>
        <w:t>CFDs are complex instruments and come with a high risk of losing money rapidly due to leverage</w:t>
      </w:r>
      <w:r w:rsidR="00AB688A" w:rsidRPr="005A0590">
        <w:rPr>
          <w:lang w:val="lv-LV"/>
        </w:rPr>
        <w:t>.</w:t>
      </w:r>
    </w:p>
    <w:p w14:paraId="79EC4732" w14:textId="77777777" w:rsidR="00AB688A" w:rsidRPr="005A0590" w:rsidRDefault="00AB688A" w:rsidP="008E655E">
      <w:pPr>
        <w:pBdr>
          <w:top w:val="single" w:sz="4" w:space="1" w:color="auto"/>
          <w:left w:val="single" w:sz="4" w:space="4" w:color="auto"/>
          <w:bottom w:val="single" w:sz="4" w:space="1" w:color="auto"/>
          <w:right w:val="single" w:sz="4" w:space="4" w:color="auto"/>
        </w:pBdr>
        <w:rPr>
          <w:b/>
          <w:lang w:val="lv-LV"/>
        </w:rPr>
      </w:pPr>
    </w:p>
    <w:p w14:paraId="78744D42" w14:textId="4673D43F" w:rsidR="00AB688A" w:rsidRPr="005A0590" w:rsidRDefault="007D19EF" w:rsidP="008E655E">
      <w:pPr>
        <w:pBdr>
          <w:top w:val="single" w:sz="4" w:space="1" w:color="auto"/>
          <w:left w:val="single" w:sz="4" w:space="4" w:color="auto"/>
          <w:bottom w:val="single" w:sz="4" w:space="1" w:color="auto"/>
          <w:right w:val="single" w:sz="4" w:space="4" w:color="auto"/>
        </w:pBdr>
        <w:rPr>
          <w:b/>
          <w:lang w:val="lv-LV"/>
        </w:rPr>
      </w:pPr>
      <w:r w:rsidRPr="005A0590">
        <w:rPr>
          <w:b/>
          <w:color w:val="000000"/>
        </w:rPr>
        <w:t>The vast majority of retail client accounts lose money when trading in CFDs</w:t>
      </w:r>
      <w:r w:rsidR="00AB688A" w:rsidRPr="005A0590">
        <w:rPr>
          <w:b/>
          <w:lang w:val="lv-LV"/>
        </w:rPr>
        <w:t>.</w:t>
      </w:r>
    </w:p>
    <w:p w14:paraId="20C4E62C" w14:textId="77777777" w:rsidR="00AB688A" w:rsidRPr="005A0590" w:rsidRDefault="00AB688A" w:rsidP="008E655E">
      <w:pPr>
        <w:pBdr>
          <w:top w:val="single" w:sz="4" w:space="1" w:color="auto"/>
          <w:left w:val="single" w:sz="4" w:space="4" w:color="auto"/>
          <w:bottom w:val="single" w:sz="4" w:space="1" w:color="auto"/>
          <w:right w:val="single" w:sz="4" w:space="4" w:color="auto"/>
        </w:pBdr>
        <w:rPr>
          <w:b/>
          <w:lang w:val="lv-LV"/>
        </w:rPr>
      </w:pPr>
    </w:p>
    <w:p w14:paraId="3CBEEFF0" w14:textId="737C342A" w:rsidR="00AB688A" w:rsidRPr="005A0590" w:rsidRDefault="00544001" w:rsidP="008E655E">
      <w:pPr>
        <w:pBdr>
          <w:top w:val="single" w:sz="4" w:space="1" w:color="auto"/>
          <w:left w:val="single" w:sz="4" w:space="4" w:color="auto"/>
          <w:bottom w:val="single" w:sz="4" w:space="1" w:color="auto"/>
          <w:right w:val="single" w:sz="4" w:space="4" w:color="auto"/>
        </w:pBdr>
        <w:rPr>
          <w:lang w:val="lv-LV"/>
        </w:rPr>
      </w:pPr>
      <w:r w:rsidRPr="005A0590">
        <w:rPr>
          <w:color w:val="000000"/>
        </w:rPr>
        <w:t>You should consider whether you understand how CFDs work and whether you can afford to take the high risk of losing your money</w:t>
      </w:r>
      <w:r w:rsidR="00AB688A" w:rsidRPr="005A0590">
        <w:rPr>
          <w:lang w:val="lv-LV"/>
        </w:rPr>
        <w:t>.</w:t>
      </w:r>
    </w:p>
    <w:p w14:paraId="0407AEBF" w14:textId="77777777" w:rsidR="00AB688A" w:rsidRPr="005A0590" w:rsidRDefault="00AB688A" w:rsidP="008E655E">
      <w:pPr>
        <w:pBdr>
          <w:top w:val="single" w:sz="4" w:space="1" w:color="auto"/>
          <w:left w:val="single" w:sz="4" w:space="4" w:color="auto"/>
          <w:bottom w:val="single" w:sz="4" w:space="1" w:color="auto"/>
          <w:right w:val="single" w:sz="4" w:space="4" w:color="auto"/>
        </w:pBdr>
        <w:rPr>
          <w:b/>
          <w:sz w:val="28"/>
          <w:lang w:val="lv-LV"/>
        </w:rPr>
      </w:pPr>
    </w:p>
    <w:p w14:paraId="35C77FB9" w14:textId="77777777" w:rsidR="00AB688A" w:rsidRPr="005A0590" w:rsidRDefault="00AB688A" w:rsidP="00AB688A">
      <w:pPr>
        <w:rPr>
          <w:sz w:val="28"/>
          <w:lang w:val="lv-LV"/>
        </w:rPr>
      </w:pPr>
    </w:p>
    <w:p w14:paraId="417BA7BC" w14:textId="3E924734" w:rsidR="00AB688A" w:rsidRPr="005A0590" w:rsidRDefault="00544001" w:rsidP="00AB688A">
      <w:pPr>
        <w:rPr>
          <w:sz w:val="28"/>
          <w:lang w:val="lv-LV"/>
        </w:rPr>
      </w:pPr>
      <w:r w:rsidRPr="005A0590">
        <w:rPr>
          <w:sz w:val="28"/>
          <w:lang w:val="lv-LV"/>
        </w:rPr>
        <w:t xml:space="preserve">Section </w:t>
      </w:r>
      <w:r w:rsidR="00AB688A" w:rsidRPr="005A0590">
        <w:rPr>
          <w:sz w:val="28"/>
          <w:lang w:val="lv-LV"/>
        </w:rPr>
        <w:t xml:space="preserve">F </w:t>
      </w:r>
    </w:p>
    <w:p w14:paraId="3FDEB4BC" w14:textId="77777777" w:rsidR="00AB688A" w:rsidRPr="005A0590" w:rsidRDefault="00AB688A" w:rsidP="00AB688A">
      <w:pPr>
        <w:rPr>
          <w:sz w:val="28"/>
          <w:lang w:val="lv-LV"/>
        </w:rPr>
      </w:pPr>
    </w:p>
    <w:p w14:paraId="5DC8572D" w14:textId="44A129B9" w:rsidR="00AB688A" w:rsidRPr="005A0590" w:rsidRDefault="00923A1C" w:rsidP="00AB688A">
      <w:pPr>
        <w:rPr>
          <w:b/>
          <w:sz w:val="28"/>
          <w:lang w:val="lv-LV"/>
        </w:rPr>
      </w:pPr>
      <w:r w:rsidRPr="005A0590">
        <w:rPr>
          <w:b/>
          <w:sz w:val="28"/>
          <w:szCs w:val="28"/>
          <w:shd w:val="clear" w:color="auto" w:fill="FFFFFF"/>
        </w:rPr>
        <w:t>Abbreviated standard risk warning</w:t>
      </w:r>
      <w:r w:rsidRPr="005A0590">
        <w:rPr>
          <w:b/>
          <w:sz w:val="28"/>
          <w:szCs w:val="28"/>
          <w:lang w:val="lv-LV"/>
        </w:rPr>
        <w:t xml:space="preserve"> </w:t>
      </w:r>
    </w:p>
    <w:p w14:paraId="69C5531B" w14:textId="77777777" w:rsidR="00AB688A" w:rsidRPr="005A0590" w:rsidRDefault="00AB688A" w:rsidP="00AB688A">
      <w:pPr>
        <w:rPr>
          <w:b/>
          <w:sz w:val="28"/>
          <w:lang w:val="lv-LV"/>
        </w:rPr>
      </w:pPr>
    </w:p>
    <w:p w14:paraId="52121304" w14:textId="77777777" w:rsidR="00AB688A" w:rsidRPr="005A0590" w:rsidRDefault="00AB688A" w:rsidP="00AB688A">
      <w:pPr>
        <w:pBdr>
          <w:top w:val="single" w:sz="4" w:space="1" w:color="auto"/>
          <w:left w:val="single" w:sz="4" w:space="4" w:color="auto"/>
          <w:bottom w:val="single" w:sz="4" w:space="1" w:color="auto"/>
          <w:right w:val="single" w:sz="4" w:space="4" w:color="auto"/>
        </w:pBdr>
        <w:rPr>
          <w:b/>
          <w:sz w:val="28"/>
          <w:lang w:val="lv-LV"/>
        </w:rPr>
      </w:pPr>
    </w:p>
    <w:p w14:paraId="1A7062FD" w14:textId="7AFBD03F" w:rsidR="00AB688A" w:rsidRPr="005A0590" w:rsidRDefault="007D19EF" w:rsidP="00AB688A">
      <w:pPr>
        <w:pBdr>
          <w:top w:val="single" w:sz="4" w:space="1" w:color="auto"/>
          <w:left w:val="single" w:sz="4" w:space="4" w:color="auto"/>
          <w:bottom w:val="single" w:sz="4" w:space="1" w:color="auto"/>
          <w:right w:val="single" w:sz="4" w:space="4" w:color="auto"/>
        </w:pBdr>
        <w:rPr>
          <w:b/>
          <w:lang w:val="lv-LV"/>
        </w:rPr>
      </w:pPr>
      <w:r w:rsidRPr="005A0590">
        <w:rPr>
          <w:b/>
          <w:color w:val="000000"/>
        </w:rPr>
        <w:t>The vast majority of retail client accounts lose money when trading in CFDs</w:t>
      </w:r>
      <w:r w:rsidR="00AB688A" w:rsidRPr="005A0590">
        <w:rPr>
          <w:b/>
          <w:lang w:val="lv-LV"/>
        </w:rPr>
        <w:t>.</w:t>
      </w:r>
    </w:p>
    <w:p w14:paraId="649231EA" w14:textId="2A648818" w:rsidR="00AB688A" w:rsidRPr="005A0590" w:rsidRDefault="00544001" w:rsidP="00544001">
      <w:pPr>
        <w:pBdr>
          <w:top w:val="single" w:sz="4" w:space="1" w:color="auto"/>
          <w:left w:val="single" w:sz="4" w:space="4" w:color="auto"/>
          <w:bottom w:val="single" w:sz="4" w:space="1" w:color="auto"/>
          <w:right w:val="single" w:sz="4" w:space="4" w:color="auto"/>
        </w:pBdr>
        <w:tabs>
          <w:tab w:val="left" w:pos="1490"/>
        </w:tabs>
        <w:rPr>
          <w:b/>
          <w:lang w:val="lv-LV"/>
        </w:rPr>
      </w:pPr>
      <w:r w:rsidRPr="005A0590">
        <w:rPr>
          <w:b/>
          <w:lang w:val="lv-LV"/>
        </w:rPr>
        <w:tab/>
      </w:r>
    </w:p>
    <w:p w14:paraId="5791CC14" w14:textId="598C9B10" w:rsidR="00AB688A" w:rsidRPr="005A0590" w:rsidRDefault="00544001" w:rsidP="00AB688A">
      <w:pPr>
        <w:pBdr>
          <w:top w:val="single" w:sz="4" w:space="1" w:color="auto"/>
          <w:left w:val="single" w:sz="4" w:space="4" w:color="auto"/>
          <w:bottom w:val="single" w:sz="4" w:space="1" w:color="auto"/>
          <w:right w:val="single" w:sz="4" w:space="4" w:color="auto"/>
        </w:pBdr>
        <w:rPr>
          <w:lang w:val="lv-LV"/>
        </w:rPr>
      </w:pPr>
      <w:r w:rsidRPr="005A0590">
        <w:t>You should consider whether you can afford to take the high risk of losing your money</w:t>
      </w:r>
      <w:r w:rsidR="00AB688A" w:rsidRPr="005A0590">
        <w:rPr>
          <w:lang w:val="lv-LV"/>
        </w:rPr>
        <w:t>.</w:t>
      </w:r>
    </w:p>
    <w:p w14:paraId="0F4EEE97" w14:textId="77777777" w:rsidR="00AB688A" w:rsidRPr="005A0590" w:rsidRDefault="00AB688A" w:rsidP="00AB688A">
      <w:pPr>
        <w:pBdr>
          <w:top w:val="single" w:sz="4" w:space="1" w:color="auto"/>
          <w:left w:val="single" w:sz="4" w:space="4" w:color="auto"/>
          <w:bottom w:val="single" w:sz="4" w:space="1" w:color="auto"/>
          <w:right w:val="single" w:sz="4" w:space="4" w:color="auto"/>
        </w:pBdr>
        <w:rPr>
          <w:b/>
          <w:lang w:val="lv-LV"/>
        </w:rPr>
      </w:pPr>
    </w:p>
    <w:p w14:paraId="6223C9BB" w14:textId="77777777" w:rsidR="00AB688A" w:rsidRPr="005A0590" w:rsidRDefault="00AB688A" w:rsidP="00AB688A">
      <w:pPr>
        <w:rPr>
          <w:sz w:val="28"/>
          <w:lang w:val="lv-LV"/>
        </w:rPr>
      </w:pPr>
    </w:p>
    <w:p w14:paraId="11FEF197" w14:textId="54585EA9" w:rsidR="00AB688A" w:rsidRPr="005A0590" w:rsidRDefault="00544001" w:rsidP="00AB688A">
      <w:pPr>
        <w:rPr>
          <w:sz w:val="28"/>
          <w:lang w:val="lv-LV"/>
        </w:rPr>
      </w:pPr>
      <w:r w:rsidRPr="005A0590">
        <w:rPr>
          <w:sz w:val="28"/>
          <w:lang w:val="lv-LV"/>
        </w:rPr>
        <w:t xml:space="preserve">Section </w:t>
      </w:r>
      <w:r w:rsidR="00AB688A" w:rsidRPr="005A0590">
        <w:rPr>
          <w:sz w:val="28"/>
          <w:lang w:val="lv-LV"/>
        </w:rPr>
        <w:t xml:space="preserve">G </w:t>
      </w:r>
    </w:p>
    <w:p w14:paraId="7C86DB7C" w14:textId="77777777" w:rsidR="00AB688A" w:rsidRPr="005A0590" w:rsidRDefault="00AB688A" w:rsidP="00AB688A">
      <w:pPr>
        <w:rPr>
          <w:sz w:val="28"/>
          <w:lang w:val="lv-LV"/>
        </w:rPr>
      </w:pPr>
    </w:p>
    <w:p w14:paraId="5C9F15A3" w14:textId="46C4B4B5" w:rsidR="00AB688A" w:rsidRPr="005A0590" w:rsidRDefault="00923A1C" w:rsidP="00AB688A">
      <w:pPr>
        <w:rPr>
          <w:b/>
          <w:sz w:val="28"/>
          <w:lang w:val="lv-LV"/>
        </w:rPr>
      </w:pPr>
      <w:r w:rsidRPr="005A0590">
        <w:rPr>
          <w:b/>
          <w:sz w:val="28"/>
          <w:szCs w:val="28"/>
          <w:shd w:val="clear" w:color="auto" w:fill="FFFFFF"/>
        </w:rPr>
        <w:t>Reduced character standard risk warning</w:t>
      </w:r>
      <w:r w:rsidRPr="005A0590">
        <w:rPr>
          <w:b/>
          <w:sz w:val="28"/>
          <w:szCs w:val="28"/>
          <w:lang w:val="lv-LV"/>
        </w:rPr>
        <w:t xml:space="preserve"> </w:t>
      </w:r>
    </w:p>
    <w:p w14:paraId="5E0DF624" w14:textId="77777777" w:rsidR="00AB688A" w:rsidRPr="005A0590" w:rsidRDefault="00AB688A" w:rsidP="00AB688A">
      <w:pPr>
        <w:rPr>
          <w:b/>
          <w:sz w:val="28"/>
          <w:lang w:val="lv-LV"/>
        </w:rPr>
      </w:pPr>
    </w:p>
    <w:p w14:paraId="58A89A71" w14:textId="77777777" w:rsidR="00AB688A" w:rsidRPr="005A0590" w:rsidRDefault="00AB688A" w:rsidP="00AB688A">
      <w:pPr>
        <w:pBdr>
          <w:top w:val="single" w:sz="4" w:space="1" w:color="auto"/>
          <w:left w:val="single" w:sz="4" w:space="4" w:color="auto"/>
          <w:bottom w:val="single" w:sz="4" w:space="1" w:color="auto"/>
          <w:right w:val="single" w:sz="4" w:space="4" w:color="auto"/>
        </w:pBdr>
        <w:rPr>
          <w:b/>
          <w:sz w:val="28"/>
          <w:lang w:val="lv-LV"/>
        </w:rPr>
      </w:pPr>
    </w:p>
    <w:p w14:paraId="5739D94F" w14:textId="0AC0C37B" w:rsidR="00AB688A" w:rsidRPr="00AB688A" w:rsidRDefault="00544001" w:rsidP="00AB688A">
      <w:pPr>
        <w:pBdr>
          <w:top w:val="single" w:sz="4" w:space="1" w:color="auto"/>
          <w:left w:val="single" w:sz="4" w:space="4" w:color="auto"/>
          <w:bottom w:val="single" w:sz="4" w:space="1" w:color="auto"/>
          <w:right w:val="single" w:sz="4" w:space="4" w:color="auto"/>
        </w:pBdr>
        <w:rPr>
          <w:b/>
          <w:lang w:val="lv-LV"/>
        </w:rPr>
      </w:pPr>
      <w:r w:rsidRPr="005A0590">
        <w:rPr>
          <w:b/>
          <w:color w:val="000000"/>
        </w:rPr>
        <w:t>The vast majority of retail client accounts lose money</w:t>
      </w:r>
      <w:r w:rsidR="00AB688A" w:rsidRPr="005A0590">
        <w:rPr>
          <w:b/>
          <w:lang w:val="lv-LV"/>
        </w:rPr>
        <w:t>.</w:t>
      </w:r>
    </w:p>
    <w:p w14:paraId="615299FE" w14:textId="77777777" w:rsidR="00AB688A" w:rsidRPr="00AB688A" w:rsidRDefault="00AB688A" w:rsidP="00AB688A">
      <w:pPr>
        <w:pStyle w:val="ListParagraph"/>
        <w:pBdr>
          <w:top w:val="single" w:sz="4" w:space="1" w:color="auto"/>
          <w:left w:val="single" w:sz="4" w:space="4" w:color="auto"/>
          <w:bottom w:val="single" w:sz="4" w:space="1" w:color="auto"/>
          <w:right w:val="single" w:sz="4" w:space="4" w:color="auto"/>
        </w:pBdr>
        <w:ind w:left="0" w:firstLine="360"/>
        <w:jc w:val="both"/>
        <w:rPr>
          <w:lang w:val="lv-LV"/>
        </w:rPr>
      </w:pPr>
    </w:p>
    <w:sectPr w:rsidR="00AB688A" w:rsidRPr="00AB688A" w:rsidSect="0025151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701" w:left="1418"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BADF6" w14:textId="77777777" w:rsidR="007F5B03" w:rsidRDefault="007F5B03">
      <w:r>
        <w:separator/>
      </w:r>
    </w:p>
  </w:endnote>
  <w:endnote w:type="continuationSeparator" w:id="0">
    <w:p w14:paraId="623C93A6" w14:textId="77777777" w:rsidR="007F5B03" w:rsidRDefault="007F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Albertina">
    <w:altName w:val="Arial"/>
    <w:panose1 w:val="020B0604020202020204"/>
    <w:charset w:val="00"/>
    <w:family w:val="swiss"/>
    <w:notTrueType/>
    <w:pitch w:val="default"/>
    <w:sig w:usb0="00000003" w:usb1="00000000" w:usb2="00000000" w:usb3="00000000" w:csb0="00000001" w:csb1="00000000"/>
  </w:font>
  <w:font w:name="Roboto">
    <w:altName w:val="Times New Roman"/>
    <w:panose1 w:val="020B0604020202020204"/>
    <w:charset w:val="BA"/>
    <w:family w:val="roman"/>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C762" w14:textId="77777777" w:rsidR="008F093D" w:rsidRDefault="008F0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CE3CD" w14:textId="77777777" w:rsidR="008F093D" w:rsidRDefault="008F09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9230" w14:textId="77777777" w:rsidR="008F093D" w:rsidRDefault="008F093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505610"/>
      <w:docPartObj>
        <w:docPartGallery w:val="Page Numbers (Bottom of Page)"/>
        <w:docPartUnique/>
      </w:docPartObj>
    </w:sdtPr>
    <w:sdtEndPr>
      <w:rPr>
        <w:noProof/>
      </w:rPr>
    </w:sdtEndPr>
    <w:sdtContent>
      <w:p w14:paraId="752C5923" w14:textId="485249B9" w:rsidR="008F093D" w:rsidRDefault="008F093D" w:rsidP="008F093D">
        <w:pPr>
          <w:pStyle w:val="Footer"/>
          <w:jc w:val="right"/>
        </w:pPr>
        <w:r>
          <w:fldChar w:fldCharType="begin"/>
        </w:r>
        <w:r>
          <w:instrText xml:space="preserve"> PAGE  \* Arabic  \* MERGEFORMAT </w:instrText>
        </w:r>
        <w:r>
          <w:fldChar w:fldCharType="separate"/>
        </w:r>
        <w:r w:rsidR="000F0F2C">
          <w:rPr>
            <w:noProof/>
          </w:rPr>
          <w:t>1</w:t>
        </w:r>
        <w:r>
          <w:fldChar w:fldCharType="end"/>
        </w:r>
        <w:r>
          <w:t>-</w:t>
        </w:r>
        <w:r w:rsidR="007F5B03">
          <w:fldChar w:fldCharType="begin"/>
        </w:r>
        <w:r w:rsidR="007F5B03">
          <w:instrText xml:space="preserve"> NUMPAGES   \* MERGEFORMAT </w:instrText>
        </w:r>
        <w:r w:rsidR="007F5B03">
          <w:fldChar w:fldCharType="separate"/>
        </w:r>
        <w:r w:rsidR="000F0F2C">
          <w:rPr>
            <w:noProof/>
          </w:rPr>
          <w:t>7</w:t>
        </w:r>
        <w:r w:rsidR="007F5B03">
          <w:rPr>
            <w:noProof/>
          </w:rPr>
          <w:fldChar w:fldCharType="end"/>
        </w:r>
      </w:p>
    </w:sdtContent>
  </w:sdt>
  <w:p w14:paraId="31BEB2E9" w14:textId="44DC5200" w:rsidR="008F093D" w:rsidRDefault="008F093D" w:rsidP="00F90B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F34B2" w14:textId="77777777" w:rsidR="007F5B03" w:rsidRDefault="007F5B03">
      <w:r>
        <w:separator/>
      </w:r>
    </w:p>
  </w:footnote>
  <w:footnote w:type="continuationSeparator" w:id="0">
    <w:p w14:paraId="1DE0D938" w14:textId="77777777" w:rsidR="007F5B03" w:rsidRDefault="007F5B03">
      <w:r>
        <w:continuationSeparator/>
      </w:r>
    </w:p>
  </w:footnote>
  <w:footnote w:id="1">
    <w:p w14:paraId="6632F18E" w14:textId="523599B6" w:rsidR="008F093D" w:rsidRPr="00A710E6" w:rsidRDefault="008F093D" w:rsidP="00713B57">
      <w:pPr>
        <w:pStyle w:val="FootnoteText"/>
        <w:jc w:val="both"/>
        <w:rPr>
          <w:lang w:val="lv-LV"/>
        </w:rPr>
      </w:pPr>
      <w:r>
        <w:rPr>
          <w:rStyle w:val="FootnoteReference"/>
        </w:rPr>
        <w:t>*</w:t>
      </w:r>
      <w:r>
        <w:t xml:space="preserve"> The </w:t>
      </w:r>
      <w:r>
        <w:rPr>
          <w:color w:val="000000"/>
          <w:sz w:val="19"/>
          <w:szCs w:val="19"/>
          <w:shd w:val="clear" w:color="auto" w:fill="FFFFFF"/>
        </w:rPr>
        <w:t>BO differs from other speculative products sold to retail clients, such as the CFD, the BO's initial payment is a predetermined monetary amount that is not directly related to the size of the asset price and the changes in the level or value of the underlying BO asset.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41CCE" w14:textId="77777777" w:rsidR="008F093D" w:rsidRDefault="008F09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991DE75" w14:textId="77777777" w:rsidR="008F093D" w:rsidRDefault="008F09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37CC7" w14:textId="277C0B5D" w:rsidR="008F093D" w:rsidRDefault="008F093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96C57" w14:textId="77777777" w:rsidR="008F093D" w:rsidRDefault="008F093D">
    <w:pPr>
      <w:pStyle w:val="Header"/>
      <w:jc w:val="center"/>
    </w:pPr>
    <w:r>
      <w:rPr>
        <w:noProof/>
        <w:lang w:val="en-US"/>
      </w:rPr>
      <w:drawing>
        <wp:inline distT="0" distB="0" distL="0" distR="0" wp14:anchorId="763410C0" wp14:editId="467386F7">
          <wp:extent cx="5768047" cy="1783084"/>
          <wp:effectExtent l="0" t="0" r="4445" b="7620"/>
          <wp:docPr id="2"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TK_veidlapa_2018_FINAL (example)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8047" cy="1783084"/>
                  </a:xfrm>
                  <a:prstGeom prst="rect">
                    <a:avLst/>
                  </a:prstGeom>
                </pic:spPr>
              </pic:pic>
            </a:graphicData>
          </a:graphic>
        </wp:inline>
      </w:drawing>
    </w:r>
  </w:p>
  <w:p w14:paraId="793E10AE" w14:textId="77777777" w:rsidR="008F093D" w:rsidRDefault="008F09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7613E"/>
    <w:multiLevelType w:val="multilevel"/>
    <w:tmpl w:val="61CAFA42"/>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2E662E6"/>
    <w:multiLevelType w:val="hybridMultilevel"/>
    <w:tmpl w:val="CCCC6040"/>
    <w:lvl w:ilvl="0" w:tplc="07AE0D34">
      <w:start w:val="4"/>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 w15:restartNumberingAfterBreak="0">
    <w:nsid w:val="342F3CC5"/>
    <w:multiLevelType w:val="hybridMultilevel"/>
    <w:tmpl w:val="97CC1C7E"/>
    <w:lvl w:ilvl="0" w:tplc="C01EE3B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AE53569"/>
    <w:multiLevelType w:val="hybridMultilevel"/>
    <w:tmpl w:val="60529C3A"/>
    <w:lvl w:ilvl="0" w:tplc="163C7E1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4BD85300"/>
    <w:multiLevelType w:val="hybridMultilevel"/>
    <w:tmpl w:val="CD9A46D6"/>
    <w:lvl w:ilvl="0" w:tplc="FE686374">
      <w:start w:val="1"/>
      <w:numFmt w:val="decimal"/>
      <w:lvlText w:val="%1."/>
      <w:lvlJc w:val="left"/>
      <w:pPr>
        <w:ind w:left="1110" w:hanging="7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647006"/>
    <w:multiLevelType w:val="hybridMultilevel"/>
    <w:tmpl w:val="CB8C49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hideGrammaticalErrors/>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00E4"/>
    <w:rsid w:val="00001401"/>
    <w:rsid w:val="00002DE3"/>
    <w:rsid w:val="00003AE5"/>
    <w:rsid w:val="000065E9"/>
    <w:rsid w:val="000128D2"/>
    <w:rsid w:val="00013632"/>
    <w:rsid w:val="000136FC"/>
    <w:rsid w:val="00014EA8"/>
    <w:rsid w:val="00015F1B"/>
    <w:rsid w:val="00016774"/>
    <w:rsid w:val="000203CA"/>
    <w:rsid w:val="000271D9"/>
    <w:rsid w:val="00032A41"/>
    <w:rsid w:val="000338AD"/>
    <w:rsid w:val="00034E26"/>
    <w:rsid w:val="00037D5F"/>
    <w:rsid w:val="000402A1"/>
    <w:rsid w:val="00040A4F"/>
    <w:rsid w:val="00043DF1"/>
    <w:rsid w:val="000460A2"/>
    <w:rsid w:val="00053DCB"/>
    <w:rsid w:val="0005530B"/>
    <w:rsid w:val="00056D7A"/>
    <w:rsid w:val="00057D4F"/>
    <w:rsid w:val="00062395"/>
    <w:rsid w:val="00064D4B"/>
    <w:rsid w:val="0007393A"/>
    <w:rsid w:val="00075757"/>
    <w:rsid w:val="00075C39"/>
    <w:rsid w:val="00076185"/>
    <w:rsid w:val="00080483"/>
    <w:rsid w:val="000849B9"/>
    <w:rsid w:val="00093B05"/>
    <w:rsid w:val="000957D2"/>
    <w:rsid w:val="00097E5A"/>
    <w:rsid w:val="000A2460"/>
    <w:rsid w:val="000A28BE"/>
    <w:rsid w:val="000A314A"/>
    <w:rsid w:val="000A5900"/>
    <w:rsid w:val="000A601D"/>
    <w:rsid w:val="000B0318"/>
    <w:rsid w:val="000B292E"/>
    <w:rsid w:val="000B2E8C"/>
    <w:rsid w:val="000B5B9F"/>
    <w:rsid w:val="000C016D"/>
    <w:rsid w:val="000C18C6"/>
    <w:rsid w:val="000C1D99"/>
    <w:rsid w:val="000C1F30"/>
    <w:rsid w:val="000C6208"/>
    <w:rsid w:val="000C7C0A"/>
    <w:rsid w:val="000D242C"/>
    <w:rsid w:val="000D2868"/>
    <w:rsid w:val="000D5E7D"/>
    <w:rsid w:val="000E189D"/>
    <w:rsid w:val="000E37BE"/>
    <w:rsid w:val="000E3B53"/>
    <w:rsid w:val="000E43E9"/>
    <w:rsid w:val="000E4797"/>
    <w:rsid w:val="000E7858"/>
    <w:rsid w:val="000F064A"/>
    <w:rsid w:val="000F0F2C"/>
    <w:rsid w:val="000F128D"/>
    <w:rsid w:val="000F2052"/>
    <w:rsid w:val="000F27FC"/>
    <w:rsid w:val="000F59FA"/>
    <w:rsid w:val="0010041F"/>
    <w:rsid w:val="00102C18"/>
    <w:rsid w:val="00104818"/>
    <w:rsid w:val="00107985"/>
    <w:rsid w:val="00107C87"/>
    <w:rsid w:val="00111EB5"/>
    <w:rsid w:val="00115219"/>
    <w:rsid w:val="00115CF1"/>
    <w:rsid w:val="0012198F"/>
    <w:rsid w:val="00124ABD"/>
    <w:rsid w:val="00125182"/>
    <w:rsid w:val="00132E47"/>
    <w:rsid w:val="00134149"/>
    <w:rsid w:val="00141D71"/>
    <w:rsid w:val="00145200"/>
    <w:rsid w:val="001526BC"/>
    <w:rsid w:val="00152A18"/>
    <w:rsid w:val="0015397B"/>
    <w:rsid w:val="001549D9"/>
    <w:rsid w:val="001549EB"/>
    <w:rsid w:val="0015679B"/>
    <w:rsid w:val="00162E95"/>
    <w:rsid w:val="00163EC9"/>
    <w:rsid w:val="0016490B"/>
    <w:rsid w:val="00164A21"/>
    <w:rsid w:val="00164B29"/>
    <w:rsid w:val="0016743F"/>
    <w:rsid w:val="00167939"/>
    <w:rsid w:val="001700DE"/>
    <w:rsid w:val="00172A0B"/>
    <w:rsid w:val="00173157"/>
    <w:rsid w:val="00174E79"/>
    <w:rsid w:val="00182B14"/>
    <w:rsid w:val="00182CB9"/>
    <w:rsid w:val="00184A0E"/>
    <w:rsid w:val="00184CEB"/>
    <w:rsid w:val="00186EA5"/>
    <w:rsid w:val="00192750"/>
    <w:rsid w:val="001948F1"/>
    <w:rsid w:val="001965C2"/>
    <w:rsid w:val="00196FDE"/>
    <w:rsid w:val="001A1A01"/>
    <w:rsid w:val="001A3CC0"/>
    <w:rsid w:val="001A6489"/>
    <w:rsid w:val="001B515C"/>
    <w:rsid w:val="001B53EC"/>
    <w:rsid w:val="001B6F25"/>
    <w:rsid w:val="001C2A7B"/>
    <w:rsid w:val="001D275B"/>
    <w:rsid w:val="001D3977"/>
    <w:rsid w:val="001D5FAE"/>
    <w:rsid w:val="001D7EB1"/>
    <w:rsid w:val="001E17E7"/>
    <w:rsid w:val="001E40A7"/>
    <w:rsid w:val="001E6EEE"/>
    <w:rsid w:val="001F173F"/>
    <w:rsid w:val="001F2290"/>
    <w:rsid w:val="001F2517"/>
    <w:rsid w:val="001F31C3"/>
    <w:rsid w:val="001F4467"/>
    <w:rsid w:val="001F5082"/>
    <w:rsid w:val="0020248B"/>
    <w:rsid w:val="0020782D"/>
    <w:rsid w:val="00210598"/>
    <w:rsid w:val="00211DC2"/>
    <w:rsid w:val="00212406"/>
    <w:rsid w:val="00213045"/>
    <w:rsid w:val="00215CCA"/>
    <w:rsid w:val="0022260C"/>
    <w:rsid w:val="002302CD"/>
    <w:rsid w:val="002328E8"/>
    <w:rsid w:val="002357A5"/>
    <w:rsid w:val="00240A28"/>
    <w:rsid w:val="00242538"/>
    <w:rsid w:val="00243323"/>
    <w:rsid w:val="00251513"/>
    <w:rsid w:val="0025344D"/>
    <w:rsid w:val="00253CB2"/>
    <w:rsid w:val="00254C2C"/>
    <w:rsid w:val="00254D0E"/>
    <w:rsid w:val="002626F7"/>
    <w:rsid w:val="0026297D"/>
    <w:rsid w:val="002652FC"/>
    <w:rsid w:val="00265621"/>
    <w:rsid w:val="00266D9F"/>
    <w:rsid w:val="00266E50"/>
    <w:rsid w:val="0027251E"/>
    <w:rsid w:val="00273F32"/>
    <w:rsid w:val="002745BA"/>
    <w:rsid w:val="002750B0"/>
    <w:rsid w:val="002767DE"/>
    <w:rsid w:val="00282C5C"/>
    <w:rsid w:val="00287480"/>
    <w:rsid w:val="00292034"/>
    <w:rsid w:val="00292879"/>
    <w:rsid w:val="002929C7"/>
    <w:rsid w:val="00292B88"/>
    <w:rsid w:val="00293649"/>
    <w:rsid w:val="002937EF"/>
    <w:rsid w:val="002959A4"/>
    <w:rsid w:val="002A2305"/>
    <w:rsid w:val="002A4D0D"/>
    <w:rsid w:val="002B23A9"/>
    <w:rsid w:val="002B5032"/>
    <w:rsid w:val="002C08A7"/>
    <w:rsid w:val="002C1484"/>
    <w:rsid w:val="002C28CE"/>
    <w:rsid w:val="002C2DA2"/>
    <w:rsid w:val="002C68A3"/>
    <w:rsid w:val="002C6AB9"/>
    <w:rsid w:val="002C71F6"/>
    <w:rsid w:val="002D7B46"/>
    <w:rsid w:val="002D7BD3"/>
    <w:rsid w:val="002E3D6B"/>
    <w:rsid w:val="002E57AE"/>
    <w:rsid w:val="002E64CB"/>
    <w:rsid w:val="002E75E8"/>
    <w:rsid w:val="002F221F"/>
    <w:rsid w:val="002F3B78"/>
    <w:rsid w:val="002F5B2D"/>
    <w:rsid w:val="002F600F"/>
    <w:rsid w:val="003017B7"/>
    <w:rsid w:val="00307A01"/>
    <w:rsid w:val="00310647"/>
    <w:rsid w:val="003116A1"/>
    <w:rsid w:val="003143A5"/>
    <w:rsid w:val="00315921"/>
    <w:rsid w:val="00316F03"/>
    <w:rsid w:val="00317E16"/>
    <w:rsid w:val="00322CD6"/>
    <w:rsid w:val="00325DFC"/>
    <w:rsid w:val="0032680A"/>
    <w:rsid w:val="00327A25"/>
    <w:rsid w:val="003337CB"/>
    <w:rsid w:val="0033437B"/>
    <w:rsid w:val="00335176"/>
    <w:rsid w:val="00337E13"/>
    <w:rsid w:val="00337E38"/>
    <w:rsid w:val="003437B5"/>
    <w:rsid w:val="00343A39"/>
    <w:rsid w:val="00344D7E"/>
    <w:rsid w:val="003459AC"/>
    <w:rsid w:val="00346189"/>
    <w:rsid w:val="0034734E"/>
    <w:rsid w:val="00353222"/>
    <w:rsid w:val="00362435"/>
    <w:rsid w:val="00362B09"/>
    <w:rsid w:val="00371C69"/>
    <w:rsid w:val="003730DC"/>
    <w:rsid w:val="003754AD"/>
    <w:rsid w:val="0038136C"/>
    <w:rsid w:val="00381C9E"/>
    <w:rsid w:val="00382726"/>
    <w:rsid w:val="00382AD0"/>
    <w:rsid w:val="00383CA8"/>
    <w:rsid w:val="003856BF"/>
    <w:rsid w:val="00386A9B"/>
    <w:rsid w:val="0038736C"/>
    <w:rsid w:val="00387A4C"/>
    <w:rsid w:val="00387B88"/>
    <w:rsid w:val="003909E4"/>
    <w:rsid w:val="00390CD5"/>
    <w:rsid w:val="0039278E"/>
    <w:rsid w:val="0039320C"/>
    <w:rsid w:val="00393BBC"/>
    <w:rsid w:val="00395D58"/>
    <w:rsid w:val="003A75C0"/>
    <w:rsid w:val="003B08A9"/>
    <w:rsid w:val="003B115B"/>
    <w:rsid w:val="003B2E41"/>
    <w:rsid w:val="003B32A8"/>
    <w:rsid w:val="003B3F92"/>
    <w:rsid w:val="003B4B91"/>
    <w:rsid w:val="003B50BD"/>
    <w:rsid w:val="003B5AFF"/>
    <w:rsid w:val="003B73E8"/>
    <w:rsid w:val="003C097E"/>
    <w:rsid w:val="003C289C"/>
    <w:rsid w:val="003C329E"/>
    <w:rsid w:val="003C344D"/>
    <w:rsid w:val="003C4A82"/>
    <w:rsid w:val="003C6B2F"/>
    <w:rsid w:val="003C6CC8"/>
    <w:rsid w:val="003D0C27"/>
    <w:rsid w:val="003D2281"/>
    <w:rsid w:val="003D7323"/>
    <w:rsid w:val="003E0238"/>
    <w:rsid w:val="003F0F71"/>
    <w:rsid w:val="003F42C5"/>
    <w:rsid w:val="00401560"/>
    <w:rsid w:val="0040322E"/>
    <w:rsid w:val="004039CA"/>
    <w:rsid w:val="0040545F"/>
    <w:rsid w:val="004056B5"/>
    <w:rsid w:val="00405C50"/>
    <w:rsid w:val="00411E59"/>
    <w:rsid w:val="0041218A"/>
    <w:rsid w:val="00413EAA"/>
    <w:rsid w:val="00414C3B"/>
    <w:rsid w:val="0042304C"/>
    <w:rsid w:val="0042306D"/>
    <w:rsid w:val="00426CDC"/>
    <w:rsid w:val="00430D01"/>
    <w:rsid w:val="00430D6C"/>
    <w:rsid w:val="0043109C"/>
    <w:rsid w:val="00433C9A"/>
    <w:rsid w:val="004342A2"/>
    <w:rsid w:val="00436441"/>
    <w:rsid w:val="00440533"/>
    <w:rsid w:val="004429A5"/>
    <w:rsid w:val="004446D8"/>
    <w:rsid w:val="0044528D"/>
    <w:rsid w:val="004463FE"/>
    <w:rsid w:val="00446DF7"/>
    <w:rsid w:val="00447CFD"/>
    <w:rsid w:val="00452EDE"/>
    <w:rsid w:val="00454744"/>
    <w:rsid w:val="00457643"/>
    <w:rsid w:val="004620F6"/>
    <w:rsid w:val="004633AB"/>
    <w:rsid w:val="00463768"/>
    <w:rsid w:val="004700F9"/>
    <w:rsid w:val="00470DEA"/>
    <w:rsid w:val="004734DE"/>
    <w:rsid w:val="0047351D"/>
    <w:rsid w:val="00475DEA"/>
    <w:rsid w:val="00477154"/>
    <w:rsid w:val="004807F0"/>
    <w:rsid w:val="004817E8"/>
    <w:rsid w:val="00483A0F"/>
    <w:rsid w:val="004841B4"/>
    <w:rsid w:val="0048516A"/>
    <w:rsid w:val="00485C9F"/>
    <w:rsid w:val="004879C2"/>
    <w:rsid w:val="00490A63"/>
    <w:rsid w:val="00496C1F"/>
    <w:rsid w:val="004A36BC"/>
    <w:rsid w:val="004A467D"/>
    <w:rsid w:val="004A51A0"/>
    <w:rsid w:val="004A559F"/>
    <w:rsid w:val="004A713F"/>
    <w:rsid w:val="004A7A8B"/>
    <w:rsid w:val="004B05F8"/>
    <w:rsid w:val="004B3366"/>
    <w:rsid w:val="004B6CB2"/>
    <w:rsid w:val="004B78B3"/>
    <w:rsid w:val="004C098A"/>
    <w:rsid w:val="004C239B"/>
    <w:rsid w:val="004C5EF3"/>
    <w:rsid w:val="004C646E"/>
    <w:rsid w:val="004C6DB2"/>
    <w:rsid w:val="004D0AEA"/>
    <w:rsid w:val="004D5E20"/>
    <w:rsid w:val="004E11EB"/>
    <w:rsid w:val="004E2D98"/>
    <w:rsid w:val="004E3AAE"/>
    <w:rsid w:val="004E3ECA"/>
    <w:rsid w:val="004E408B"/>
    <w:rsid w:val="004E52D5"/>
    <w:rsid w:val="004E61F8"/>
    <w:rsid w:val="004E7A0F"/>
    <w:rsid w:val="004E7F5C"/>
    <w:rsid w:val="004F01DB"/>
    <w:rsid w:val="004F091D"/>
    <w:rsid w:val="004F3035"/>
    <w:rsid w:val="004F52CF"/>
    <w:rsid w:val="004F64BA"/>
    <w:rsid w:val="004F6BAA"/>
    <w:rsid w:val="00501F58"/>
    <w:rsid w:val="005073A3"/>
    <w:rsid w:val="005079D1"/>
    <w:rsid w:val="00513632"/>
    <w:rsid w:val="005138F3"/>
    <w:rsid w:val="0051497B"/>
    <w:rsid w:val="00517F2D"/>
    <w:rsid w:val="00520BC3"/>
    <w:rsid w:val="00522222"/>
    <w:rsid w:val="00523B12"/>
    <w:rsid w:val="0053176F"/>
    <w:rsid w:val="00534B74"/>
    <w:rsid w:val="00534B86"/>
    <w:rsid w:val="00535A80"/>
    <w:rsid w:val="00536EC2"/>
    <w:rsid w:val="0054277B"/>
    <w:rsid w:val="00544001"/>
    <w:rsid w:val="00544D99"/>
    <w:rsid w:val="00554BEA"/>
    <w:rsid w:val="005550FB"/>
    <w:rsid w:val="005553BC"/>
    <w:rsid w:val="0055688C"/>
    <w:rsid w:val="00557537"/>
    <w:rsid w:val="00565ADA"/>
    <w:rsid w:val="00570CBC"/>
    <w:rsid w:val="00572C50"/>
    <w:rsid w:val="00574479"/>
    <w:rsid w:val="00574847"/>
    <w:rsid w:val="00575275"/>
    <w:rsid w:val="005833AF"/>
    <w:rsid w:val="00586693"/>
    <w:rsid w:val="005870E9"/>
    <w:rsid w:val="00590A9D"/>
    <w:rsid w:val="00591AB3"/>
    <w:rsid w:val="00592456"/>
    <w:rsid w:val="005929EA"/>
    <w:rsid w:val="00595598"/>
    <w:rsid w:val="0059586F"/>
    <w:rsid w:val="00595A39"/>
    <w:rsid w:val="005A0590"/>
    <w:rsid w:val="005A1901"/>
    <w:rsid w:val="005A1BB3"/>
    <w:rsid w:val="005A33E4"/>
    <w:rsid w:val="005A716A"/>
    <w:rsid w:val="005B0355"/>
    <w:rsid w:val="005B0A10"/>
    <w:rsid w:val="005B2C1C"/>
    <w:rsid w:val="005B482D"/>
    <w:rsid w:val="005C3DD3"/>
    <w:rsid w:val="005C472A"/>
    <w:rsid w:val="005C6125"/>
    <w:rsid w:val="005C65EF"/>
    <w:rsid w:val="005C7DDB"/>
    <w:rsid w:val="005D2360"/>
    <w:rsid w:val="005D5D3F"/>
    <w:rsid w:val="005D63BE"/>
    <w:rsid w:val="005D6B7F"/>
    <w:rsid w:val="005D76E7"/>
    <w:rsid w:val="005E18F0"/>
    <w:rsid w:val="005E22A3"/>
    <w:rsid w:val="005E3ABD"/>
    <w:rsid w:val="005E53A1"/>
    <w:rsid w:val="005E53BA"/>
    <w:rsid w:val="005E66C6"/>
    <w:rsid w:val="005E6B74"/>
    <w:rsid w:val="005F43E3"/>
    <w:rsid w:val="006011AC"/>
    <w:rsid w:val="006021D2"/>
    <w:rsid w:val="006068B5"/>
    <w:rsid w:val="00611FAF"/>
    <w:rsid w:val="00621792"/>
    <w:rsid w:val="006230BC"/>
    <w:rsid w:val="00623B23"/>
    <w:rsid w:val="00625DA8"/>
    <w:rsid w:val="006262B0"/>
    <w:rsid w:val="006268E1"/>
    <w:rsid w:val="00627FAA"/>
    <w:rsid w:val="006311F4"/>
    <w:rsid w:val="00631B6F"/>
    <w:rsid w:val="0063203E"/>
    <w:rsid w:val="00634901"/>
    <w:rsid w:val="006367BD"/>
    <w:rsid w:val="00645159"/>
    <w:rsid w:val="00650871"/>
    <w:rsid w:val="00650F1B"/>
    <w:rsid w:val="006605D3"/>
    <w:rsid w:val="00662CEC"/>
    <w:rsid w:val="006646AC"/>
    <w:rsid w:val="006663D9"/>
    <w:rsid w:val="0066647D"/>
    <w:rsid w:val="00667C39"/>
    <w:rsid w:val="00670212"/>
    <w:rsid w:val="00680B39"/>
    <w:rsid w:val="00685CDE"/>
    <w:rsid w:val="00687A7E"/>
    <w:rsid w:val="00690BBD"/>
    <w:rsid w:val="00690C02"/>
    <w:rsid w:val="006917F4"/>
    <w:rsid w:val="00692DF5"/>
    <w:rsid w:val="006A2C4D"/>
    <w:rsid w:val="006A45E1"/>
    <w:rsid w:val="006A6BFA"/>
    <w:rsid w:val="006A7881"/>
    <w:rsid w:val="006B0466"/>
    <w:rsid w:val="006B38B5"/>
    <w:rsid w:val="006B6BE1"/>
    <w:rsid w:val="006C1670"/>
    <w:rsid w:val="006C29E2"/>
    <w:rsid w:val="006C2A2E"/>
    <w:rsid w:val="006C5119"/>
    <w:rsid w:val="006C54F9"/>
    <w:rsid w:val="006C7993"/>
    <w:rsid w:val="006D054B"/>
    <w:rsid w:val="006D1E15"/>
    <w:rsid w:val="006D24F2"/>
    <w:rsid w:val="006D70AC"/>
    <w:rsid w:val="006D7C48"/>
    <w:rsid w:val="006E0B25"/>
    <w:rsid w:val="006E51A6"/>
    <w:rsid w:val="006F1764"/>
    <w:rsid w:val="006F1D02"/>
    <w:rsid w:val="006F58B7"/>
    <w:rsid w:val="006F5D83"/>
    <w:rsid w:val="006F6C73"/>
    <w:rsid w:val="00700418"/>
    <w:rsid w:val="00701F5A"/>
    <w:rsid w:val="00703DF6"/>
    <w:rsid w:val="00704E85"/>
    <w:rsid w:val="007056BF"/>
    <w:rsid w:val="00706B74"/>
    <w:rsid w:val="007079B1"/>
    <w:rsid w:val="00710EC3"/>
    <w:rsid w:val="00713B57"/>
    <w:rsid w:val="007143BC"/>
    <w:rsid w:val="00714CF2"/>
    <w:rsid w:val="007159DC"/>
    <w:rsid w:val="007161F4"/>
    <w:rsid w:val="00716F8D"/>
    <w:rsid w:val="00717159"/>
    <w:rsid w:val="00717630"/>
    <w:rsid w:val="00717979"/>
    <w:rsid w:val="0072038C"/>
    <w:rsid w:val="0072136D"/>
    <w:rsid w:val="00721A32"/>
    <w:rsid w:val="00723469"/>
    <w:rsid w:val="00723B90"/>
    <w:rsid w:val="00727891"/>
    <w:rsid w:val="00727DB1"/>
    <w:rsid w:val="007304CC"/>
    <w:rsid w:val="007307D3"/>
    <w:rsid w:val="00731474"/>
    <w:rsid w:val="00732E40"/>
    <w:rsid w:val="0073392E"/>
    <w:rsid w:val="00733A45"/>
    <w:rsid w:val="00733BB7"/>
    <w:rsid w:val="0074024B"/>
    <w:rsid w:val="00740AAE"/>
    <w:rsid w:val="007413EC"/>
    <w:rsid w:val="00741D66"/>
    <w:rsid w:val="007440B0"/>
    <w:rsid w:val="00746238"/>
    <w:rsid w:val="0075013E"/>
    <w:rsid w:val="00750B78"/>
    <w:rsid w:val="00751662"/>
    <w:rsid w:val="007524F0"/>
    <w:rsid w:val="00754E80"/>
    <w:rsid w:val="007569E6"/>
    <w:rsid w:val="00762A23"/>
    <w:rsid w:val="00764957"/>
    <w:rsid w:val="00766105"/>
    <w:rsid w:val="0076732E"/>
    <w:rsid w:val="00770877"/>
    <w:rsid w:val="00771A7F"/>
    <w:rsid w:val="007746AA"/>
    <w:rsid w:val="00774ACF"/>
    <w:rsid w:val="00777570"/>
    <w:rsid w:val="00777BD1"/>
    <w:rsid w:val="00777C3F"/>
    <w:rsid w:val="00777D94"/>
    <w:rsid w:val="0078038A"/>
    <w:rsid w:val="00782563"/>
    <w:rsid w:val="007833E7"/>
    <w:rsid w:val="00783AC9"/>
    <w:rsid w:val="007856FF"/>
    <w:rsid w:val="00785CC0"/>
    <w:rsid w:val="0078696C"/>
    <w:rsid w:val="007870CB"/>
    <w:rsid w:val="00787451"/>
    <w:rsid w:val="0079080E"/>
    <w:rsid w:val="007916A3"/>
    <w:rsid w:val="007928EF"/>
    <w:rsid w:val="00795743"/>
    <w:rsid w:val="007A14C2"/>
    <w:rsid w:val="007A6496"/>
    <w:rsid w:val="007A75A5"/>
    <w:rsid w:val="007B091B"/>
    <w:rsid w:val="007B239F"/>
    <w:rsid w:val="007C3C3E"/>
    <w:rsid w:val="007C47F6"/>
    <w:rsid w:val="007C5154"/>
    <w:rsid w:val="007C587D"/>
    <w:rsid w:val="007C5C09"/>
    <w:rsid w:val="007C61F1"/>
    <w:rsid w:val="007C6CB7"/>
    <w:rsid w:val="007C77DC"/>
    <w:rsid w:val="007D19EF"/>
    <w:rsid w:val="007D3A5A"/>
    <w:rsid w:val="007D4E2F"/>
    <w:rsid w:val="007D7A2E"/>
    <w:rsid w:val="007E09CB"/>
    <w:rsid w:val="007E15FD"/>
    <w:rsid w:val="007E3118"/>
    <w:rsid w:val="007E37A2"/>
    <w:rsid w:val="007E43AB"/>
    <w:rsid w:val="007F018C"/>
    <w:rsid w:val="007F48A9"/>
    <w:rsid w:val="007F4A3D"/>
    <w:rsid w:val="007F54E0"/>
    <w:rsid w:val="007F5B03"/>
    <w:rsid w:val="007F5F3A"/>
    <w:rsid w:val="007F6A2E"/>
    <w:rsid w:val="008005E7"/>
    <w:rsid w:val="008040A3"/>
    <w:rsid w:val="00805459"/>
    <w:rsid w:val="00806E79"/>
    <w:rsid w:val="00816351"/>
    <w:rsid w:val="00816E36"/>
    <w:rsid w:val="00824BE1"/>
    <w:rsid w:val="00832AA3"/>
    <w:rsid w:val="00835FC3"/>
    <w:rsid w:val="00836134"/>
    <w:rsid w:val="008425E8"/>
    <w:rsid w:val="00843DEB"/>
    <w:rsid w:val="008461B4"/>
    <w:rsid w:val="008505D4"/>
    <w:rsid w:val="00851206"/>
    <w:rsid w:val="00851747"/>
    <w:rsid w:val="00851F67"/>
    <w:rsid w:val="00852D39"/>
    <w:rsid w:val="00855DDD"/>
    <w:rsid w:val="0086439C"/>
    <w:rsid w:val="00865D4E"/>
    <w:rsid w:val="008717D2"/>
    <w:rsid w:val="0087193A"/>
    <w:rsid w:val="0087773A"/>
    <w:rsid w:val="0088131E"/>
    <w:rsid w:val="0088217D"/>
    <w:rsid w:val="0088630E"/>
    <w:rsid w:val="008908DF"/>
    <w:rsid w:val="00890BB5"/>
    <w:rsid w:val="00892349"/>
    <w:rsid w:val="00893E8F"/>
    <w:rsid w:val="008A0D0E"/>
    <w:rsid w:val="008A3A51"/>
    <w:rsid w:val="008B006E"/>
    <w:rsid w:val="008C0F30"/>
    <w:rsid w:val="008C1C10"/>
    <w:rsid w:val="008C24D5"/>
    <w:rsid w:val="008C31CF"/>
    <w:rsid w:val="008C5178"/>
    <w:rsid w:val="008C5770"/>
    <w:rsid w:val="008C6FF3"/>
    <w:rsid w:val="008D02CA"/>
    <w:rsid w:val="008D21CE"/>
    <w:rsid w:val="008E1E5C"/>
    <w:rsid w:val="008E3126"/>
    <w:rsid w:val="008E655E"/>
    <w:rsid w:val="008F093D"/>
    <w:rsid w:val="008F23B8"/>
    <w:rsid w:val="008F5FAC"/>
    <w:rsid w:val="008F61EC"/>
    <w:rsid w:val="00901696"/>
    <w:rsid w:val="009018EB"/>
    <w:rsid w:val="00903319"/>
    <w:rsid w:val="00905C4B"/>
    <w:rsid w:val="00907AE6"/>
    <w:rsid w:val="009138B5"/>
    <w:rsid w:val="00915866"/>
    <w:rsid w:val="00916E77"/>
    <w:rsid w:val="00923A1C"/>
    <w:rsid w:val="00924036"/>
    <w:rsid w:val="0092506F"/>
    <w:rsid w:val="009320B1"/>
    <w:rsid w:val="009347A5"/>
    <w:rsid w:val="009349CD"/>
    <w:rsid w:val="00940401"/>
    <w:rsid w:val="00943B79"/>
    <w:rsid w:val="00945D84"/>
    <w:rsid w:val="009470FA"/>
    <w:rsid w:val="00950499"/>
    <w:rsid w:val="00951971"/>
    <w:rsid w:val="00951D14"/>
    <w:rsid w:val="00957BD3"/>
    <w:rsid w:val="0096223F"/>
    <w:rsid w:val="0096470C"/>
    <w:rsid w:val="00965032"/>
    <w:rsid w:val="0096651E"/>
    <w:rsid w:val="0097084B"/>
    <w:rsid w:val="00970F39"/>
    <w:rsid w:val="009735F5"/>
    <w:rsid w:val="00976FE1"/>
    <w:rsid w:val="009820E4"/>
    <w:rsid w:val="00984CF7"/>
    <w:rsid w:val="00984EDA"/>
    <w:rsid w:val="009859A8"/>
    <w:rsid w:val="00985AF5"/>
    <w:rsid w:val="00991AC8"/>
    <w:rsid w:val="00993C60"/>
    <w:rsid w:val="009944EB"/>
    <w:rsid w:val="00994564"/>
    <w:rsid w:val="00995B7F"/>
    <w:rsid w:val="0099694B"/>
    <w:rsid w:val="009A11D2"/>
    <w:rsid w:val="009A25A4"/>
    <w:rsid w:val="009B0B0D"/>
    <w:rsid w:val="009B189B"/>
    <w:rsid w:val="009B3B5C"/>
    <w:rsid w:val="009B4639"/>
    <w:rsid w:val="009C01FB"/>
    <w:rsid w:val="009C0602"/>
    <w:rsid w:val="009C0F9A"/>
    <w:rsid w:val="009C1BFA"/>
    <w:rsid w:val="009C1D52"/>
    <w:rsid w:val="009C55CD"/>
    <w:rsid w:val="009C5B75"/>
    <w:rsid w:val="009C66E1"/>
    <w:rsid w:val="009C6C4F"/>
    <w:rsid w:val="009C7FB4"/>
    <w:rsid w:val="009D1345"/>
    <w:rsid w:val="009D2186"/>
    <w:rsid w:val="009D2E1A"/>
    <w:rsid w:val="009D5A70"/>
    <w:rsid w:val="009E1457"/>
    <w:rsid w:val="009E28E8"/>
    <w:rsid w:val="009E33DD"/>
    <w:rsid w:val="009E75EE"/>
    <w:rsid w:val="009F0248"/>
    <w:rsid w:val="009F062C"/>
    <w:rsid w:val="009F07AB"/>
    <w:rsid w:val="009F2179"/>
    <w:rsid w:val="009F3902"/>
    <w:rsid w:val="009F75D4"/>
    <w:rsid w:val="00A0080A"/>
    <w:rsid w:val="00A016D0"/>
    <w:rsid w:val="00A0626F"/>
    <w:rsid w:val="00A064F4"/>
    <w:rsid w:val="00A11C55"/>
    <w:rsid w:val="00A13386"/>
    <w:rsid w:val="00A211CE"/>
    <w:rsid w:val="00A23AC1"/>
    <w:rsid w:val="00A33298"/>
    <w:rsid w:val="00A339A6"/>
    <w:rsid w:val="00A37276"/>
    <w:rsid w:val="00A4467A"/>
    <w:rsid w:val="00A44910"/>
    <w:rsid w:val="00A4616D"/>
    <w:rsid w:val="00A51349"/>
    <w:rsid w:val="00A51C97"/>
    <w:rsid w:val="00A52832"/>
    <w:rsid w:val="00A53185"/>
    <w:rsid w:val="00A53374"/>
    <w:rsid w:val="00A54ECA"/>
    <w:rsid w:val="00A551F9"/>
    <w:rsid w:val="00A562E9"/>
    <w:rsid w:val="00A660CB"/>
    <w:rsid w:val="00A66611"/>
    <w:rsid w:val="00A710E6"/>
    <w:rsid w:val="00A72E42"/>
    <w:rsid w:val="00A73685"/>
    <w:rsid w:val="00A75536"/>
    <w:rsid w:val="00A767EF"/>
    <w:rsid w:val="00A800A3"/>
    <w:rsid w:val="00A8682F"/>
    <w:rsid w:val="00A86A23"/>
    <w:rsid w:val="00A94D19"/>
    <w:rsid w:val="00A96E01"/>
    <w:rsid w:val="00AA0094"/>
    <w:rsid w:val="00AA0F42"/>
    <w:rsid w:val="00AA5CC9"/>
    <w:rsid w:val="00AB33F0"/>
    <w:rsid w:val="00AB688A"/>
    <w:rsid w:val="00AB6F2D"/>
    <w:rsid w:val="00AC2A8F"/>
    <w:rsid w:val="00AC2D4C"/>
    <w:rsid w:val="00AC4504"/>
    <w:rsid w:val="00AC6CE5"/>
    <w:rsid w:val="00AD1141"/>
    <w:rsid w:val="00AD4A65"/>
    <w:rsid w:val="00AD623B"/>
    <w:rsid w:val="00AE0646"/>
    <w:rsid w:val="00AE2B0A"/>
    <w:rsid w:val="00AE319E"/>
    <w:rsid w:val="00AE56CA"/>
    <w:rsid w:val="00AE5C51"/>
    <w:rsid w:val="00AE7742"/>
    <w:rsid w:val="00AE7991"/>
    <w:rsid w:val="00AF195E"/>
    <w:rsid w:val="00AF1CC8"/>
    <w:rsid w:val="00AF29CF"/>
    <w:rsid w:val="00AF6036"/>
    <w:rsid w:val="00AF7632"/>
    <w:rsid w:val="00B00202"/>
    <w:rsid w:val="00B019B8"/>
    <w:rsid w:val="00B1753E"/>
    <w:rsid w:val="00B23353"/>
    <w:rsid w:val="00B3013E"/>
    <w:rsid w:val="00B31CD0"/>
    <w:rsid w:val="00B32463"/>
    <w:rsid w:val="00B33AD8"/>
    <w:rsid w:val="00B401CB"/>
    <w:rsid w:val="00B407D7"/>
    <w:rsid w:val="00B4257D"/>
    <w:rsid w:val="00B43A6D"/>
    <w:rsid w:val="00B461A4"/>
    <w:rsid w:val="00B47600"/>
    <w:rsid w:val="00B50ADF"/>
    <w:rsid w:val="00B51F44"/>
    <w:rsid w:val="00B538B3"/>
    <w:rsid w:val="00B56D16"/>
    <w:rsid w:val="00B63934"/>
    <w:rsid w:val="00B67CAC"/>
    <w:rsid w:val="00B733B7"/>
    <w:rsid w:val="00B7442C"/>
    <w:rsid w:val="00B77144"/>
    <w:rsid w:val="00B80DD1"/>
    <w:rsid w:val="00B82B7A"/>
    <w:rsid w:val="00B83241"/>
    <w:rsid w:val="00B85C30"/>
    <w:rsid w:val="00B9047E"/>
    <w:rsid w:val="00B90BD8"/>
    <w:rsid w:val="00B938D7"/>
    <w:rsid w:val="00B96CE7"/>
    <w:rsid w:val="00B96E3C"/>
    <w:rsid w:val="00BA1E48"/>
    <w:rsid w:val="00BA3FAF"/>
    <w:rsid w:val="00BA3FF0"/>
    <w:rsid w:val="00BB29B6"/>
    <w:rsid w:val="00BC6634"/>
    <w:rsid w:val="00BD48EC"/>
    <w:rsid w:val="00BD593E"/>
    <w:rsid w:val="00BD6CF8"/>
    <w:rsid w:val="00BE0820"/>
    <w:rsid w:val="00BE178B"/>
    <w:rsid w:val="00BE3F2C"/>
    <w:rsid w:val="00BE4595"/>
    <w:rsid w:val="00BE5276"/>
    <w:rsid w:val="00BE627E"/>
    <w:rsid w:val="00BE7F42"/>
    <w:rsid w:val="00BF0DE6"/>
    <w:rsid w:val="00BF56F0"/>
    <w:rsid w:val="00BF5B91"/>
    <w:rsid w:val="00BF5D59"/>
    <w:rsid w:val="00C054AF"/>
    <w:rsid w:val="00C05CF3"/>
    <w:rsid w:val="00C07814"/>
    <w:rsid w:val="00C1095A"/>
    <w:rsid w:val="00C11CEA"/>
    <w:rsid w:val="00C12712"/>
    <w:rsid w:val="00C1348E"/>
    <w:rsid w:val="00C20EBB"/>
    <w:rsid w:val="00C2239F"/>
    <w:rsid w:val="00C22A1A"/>
    <w:rsid w:val="00C22C24"/>
    <w:rsid w:val="00C26643"/>
    <w:rsid w:val="00C26A15"/>
    <w:rsid w:val="00C27334"/>
    <w:rsid w:val="00C32A87"/>
    <w:rsid w:val="00C33184"/>
    <w:rsid w:val="00C35106"/>
    <w:rsid w:val="00C43BF5"/>
    <w:rsid w:val="00C4598F"/>
    <w:rsid w:val="00C459D4"/>
    <w:rsid w:val="00C501B4"/>
    <w:rsid w:val="00C52516"/>
    <w:rsid w:val="00C53C1B"/>
    <w:rsid w:val="00C54BD4"/>
    <w:rsid w:val="00C571F9"/>
    <w:rsid w:val="00C57538"/>
    <w:rsid w:val="00C60179"/>
    <w:rsid w:val="00C618DF"/>
    <w:rsid w:val="00C628D0"/>
    <w:rsid w:val="00C6434B"/>
    <w:rsid w:val="00C67DBB"/>
    <w:rsid w:val="00C70D01"/>
    <w:rsid w:val="00C7275F"/>
    <w:rsid w:val="00C767FD"/>
    <w:rsid w:val="00C77E26"/>
    <w:rsid w:val="00C82A75"/>
    <w:rsid w:val="00C852F3"/>
    <w:rsid w:val="00C85D85"/>
    <w:rsid w:val="00C86625"/>
    <w:rsid w:val="00C86877"/>
    <w:rsid w:val="00C9008F"/>
    <w:rsid w:val="00C90C1D"/>
    <w:rsid w:val="00C94789"/>
    <w:rsid w:val="00C979A8"/>
    <w:rsid w:val="00CA20F4"/>
    <w:rsid w:val="00CA22A1"/>
    <w:rsid w:val="00CA2380"/>
    <w:rsid w:val="00CA2678"/>
    <w:rsid w:val="00CA3A92"/>
    <w:rsid w:val="00CA4CF9"/>
    <w:rsid w:val="00CA56B4"/>
    <w:rsid w:val="00CA649A"/>
    <w:rsid w:val="00CA791A"/>
    <w:rsid w:val="00CB1C4C"/>
    <w:rsid w:val="00CB50B8"/>
    <w:rsid w:val="00CB51FC"/>
    <w:rsid w:val="00CB61C9"/>
    <w:rsid w:val="00CB6371"/>
    <w:rsid w:val="00CC2B96"/>
    <w:rsid w:val="00CC3E9A"/>
    <w:rsid w:val="00CC5834"/>
    <w:rsid w:val="00CC5F15"/>
    <w:rsid w:val="00CC6B47"/>
    <w:rsid w:val="00CD14A0"/>
    <w:rsid w:val="00CD654C"/>
    <w:rsid w:val="00CE1463"/>
    <w:rsid w:val="00CE2712"/>
    <w:rsid w:val="00CF075F"/>
    <w:rsid w:val="00CF0D8C"/>
    <w:rsid w:val="00CF3A1E"/>
    <w:rsid w:val="00CF74CF"/>
    <w:rsid w:val="00D00D01"/>
    <w:rsid w:val="00D033F2"/>
    <w:rsid w:val="00D044BF"/>
    <w:rsid w:val="00D0615A"/>
    <w:rsid w:val="00D13683"/>
    <w:rsid w:val="00D23B6A"/>
    <w:rsid w:val="00D264D1"/>
    <w:rsid w:val="00D2720B"/>
    <w:rsid w:val="00D2781E"/>
    <w:rsid w:val="00D321C5"/>
    <w:rsid w:val="00D323E8"/>
    <w:rsid w:val="00D32AA2"/>
    <w:rsid w:val="00D3476C"/>
    <w:rsid w:val="00D404C5"/>
    <w:rsid w:val="00D40F14"/>
    <w:rsid w:val="00D4376B"/>
    <w:rsid w:val="00D53994"/>
    <w:rsid w:val="00D649FD"/>
    <w:rsid w:val="00D65FE2"/>
    <w:rsid w:val="00D83946"/>
    <w:rsid w:val="00D9090E"/>
    <w:rsid w:val="00D921E9"/>
    <w:rsid w:val="00D92B1C"/>
    <w:rsid w:val="00D93019"/>
    <w:rsid w:val="00D95795"/>
    <w:rsid w:val="00D95BDA"/>
    <w:rsid w:val="00DA09F4"/>
    <w:rsid w:val="00DA7527"/>
    <w:rsid w:val="00DA766D"/>
    <w:rsid w:val="00DA7825"/>
    <w:rsid w:val="00DB2846"/>
    <w:rsid w:val="00DB5E0C"/>
    <w:rsid w:val="00DB66BC"/>
    <w:rsid w:val="00DC3B61"/>
    <w:rsid w:val="00DC4CEC"/>
    <w:rsid w:val="00DC4F2A"/>
    <w:rsid w:val="00DC54EF"/>
    <w:rsid w:val="00DC5A39"/>
    <w:rsid w:val="00DD52BC"/>
    <w:rsid w:val="00DD5DB2"/>
    <w:rsid w:val="00DE0613"/>
    <w:rsid w:val="00DE2D19"/>
    <w:rsid w:val="00DE5205"/>
    <w:rsid w:val="00DF3072"/>
    <w:rsid w:val="00DF50B2"/>
    <w:rsid w:val="00DF58C2"/>
    <w:rsid w:val="00DF676F"/>
    <w:rsid w:val="00E0234C"/>
    <w:rsid w:val="00E053E0"/>
    <w:rsid w:val="00E0718B"/>
    <w:rsid w:val="00E07281"/>
    <w:rsid w:val="00E07BEB"/>
    <w:rsid w:val="00E10D53"/>
    <w:rsid w:val="00E147DD"/>
    <w:rsid w:val="00E1595E"/>
    <w:rsid w:val="00E20AF8"/>
    <w:rsid w:val="00E22B3C"/>
    <w:rsid w:val="00E25DCC"/>
    <w:rsid w:val="00E26222"/>
    <w:rsid w:val="00E27F37"/>
    <w:rsid w:val="00E32C72"/>
    <w:rsid w:val="00E34121"/>
    <w:rsid w:val="00E34A5E"/>
    <w:rsid w:val="00E35864"/>
    <w:rsid w:val="00E402B1"/>
    <w:rsid w:val="00E406A9"/>
    <w:rsid w:val="00E40712"/>
    <w:rsid w:val="00E42F2B"/>
    <w:rsid w:val="00E460A6"/>
    <w:rsid w:val="00E46107"/>
    <w:rsid w:val="00E46F93"/>
    <w:rsid w:val="00E47386"/>
    <w:rsid w:val="00E47D58"/>
    <w:rsid w:val="00E50EF1"/>
    <w:rsid w:val="00E52986"/>
    <w:rsid w:val="00E56006"/>
    <w:rsid w:val="00E57850"/>
    <w:rsid w:val="00E60D8E"/>
    <w:rsid w:val="00E62D4A"/>
    <w:rsid w:val="00E64899"/>
    <w:rsid w:val="00E66A52"/>
    <w:rsid w:val="00E67F9D"/>
    <w:rsid w:val="00E731D5"/>
    <w:rsid w:val="00E767DD"/>
    <w:rsid w:val="00E77865"/>
    <w:rsid w:val="00E84CC3"/>
    <w:rsid w:val="00E861BF"/>
    <w:rsid w:val="00E87E88"/>
    <w:rsid w:val="00E90BCF"/>
    <w:rsid w:val="00E90ECE"/>
    <w:rsid w:val="00E94C42"/>
    <w:rsid w:val="00EA2229"/>
    <w:rsid w:val="00EA35AF"/>
    <w:rsid w:val="00EA3E7B"/>
    <w:rsid w:val="00EA4CFF"/>
    <w:rsid w:val="00EA5DBF"/>
    <w:rsid w:val="00EB0E07"/>
    <w:rsid w:val="00EB30AD"/>
    <w:rsid w:val="00EC1B48"/>
    <w:rsid w:val="00EC2434"/>
    <w:rsid w:val="00EC79E0"/>
    <w:rsid w:val="00ED1534"/>
    <w:rsid w:val="00ED2BAF"/>
    <w:rsid w:val="00ED382F"/>
    <w:rsid w:val="00ED71FB"/>
    <w:rsid w:val="00EE0549"/>
    <w:rsid w:val="00EE09A3"/>
    <w:rsid w:val="00EE1FEE"/>
    <w:rsid w:val="00EE23DF"/>
    <w:rsid w:val="00EE2D87"/>
    <w:rsid w:val="00EE308E"/>
    <w:rsid w:val="00EE3E2A"/>
    <w:rsid w:val="00EE3E70"/>
    <w:rsid w:val="00EE41F3"/>
    <w:rsid w:val="00EE7C97"/>
    <w:rsid w:val="00EE7F3E"/>
    <w:rsid w:val="00EF00E4"/>
    <w:rsid w:val="00EF11D5"/>
    <w:rsid w:val="00EF22E5"/>
    <w:rsid w:val="00EF2671"/>
    <w:rsid w:val="00EF33AF"/>
    <w:rsid w:val="00EF5492"/>
    <w:rsid w:val="00EF7193"/>
    <w:rsid w:val="00F004A4"/>
    <w:rsid w:val="00F00D0E"/>
    <w:rsid w:val="00F03160"/>
    <w:rsid w:val="00F04406"/>
    <w:rsid w:val="00F076B9"/>
    <w:rsid w:val="00F124F2"/>
    <w:rsid w:val="00F13947"/>
    <w:rsid w:val="00F22F06"/>
    <w:rsid w:val="00F24B7C"/>
    <w:rsid w:val="00F26EDF"/>
    <w:rsid w:val="00F30718"/>
    <w:rsid w:val="00F315F1"/>
    <w:rsid w:val="00F32930"/>
    <w:rsid w:val="00F335EC"/>
    <w:rsid w:val="00F33DBF"/>
    <w:rsid w:val="00F44E9C"/>
    <w:rsid w:val="00F5062A"/>
    <w:rsid w:val="00F5081D"/>
    <w:rsid w:val="00F52026"/>
    <w:rsid w:val="00F524E0"/>
    <w:rsid w:val="00F552AE"/>
    <w:rsid w:val="00F5738B"/>
    <w:rsid w:val="00F647B7"/>
    <w:rsid w:val="00F64F33"/>
    <w:rsid w:val="00F65A75"/>
    <w:rsid w:val="00F65C35"/>
    <w:rsid w:val="00F7623C"/>
    <w:rsid w:val="00F76985"/>
    <w:rsid w:val="00F82A24"/>
    <w:rsid w:val="00F83C5B"/>
    <w:rsid w:val="00F90B77"/>
    <w:rsid w:val="00F90B91"/>
    <w:rsid w:val="00F9209C"/>
    <w:rsid w:val="00F923BF"/>
    <w:rsid w:val="00F92D82"/>
    <w:rsid w:val="00F9407B"/>
    <w:rsid w:val="00F94AA2"/>
    <w:rsid w:val="00F94F45"/>
    <w:rsid w:val="00F959EA"/>
    <w:rsid w:val="00F95A7F"/>
    <w:rsid w:val="00FA1237"/>
    <w:rsid w:val="00FA2CB7"/>
    <w:rsid w:val="00FA4B34"/>
    <w:rsid w:val="00FA5288"/>
    <w:rsid w:val="00FA549F"/>
    <w:rsid w:val="00FA6CE9"/>
    <w:rsid w:val="00FB13C9"/>
    <w:rsid w:val="00FB47EE"/>
    <w:rsid w:val="00FB5C66"/>
    <w:rsid w:val="00FB738A"/>
    <w:rsid w:val="00FC13F0"/>
    <w:rsid w:val="00FC19ED"/>
    <w:rsid w:val="00FC2DD4"/>
    <w:rsid w:val="00FC357D"/>
    <w:rsid w:val="00FC3E29"/>
    <w:rsid w:val="00FD0760"/>
    <w:rsid w:val="00FD69EE"/>
    <w:rsid w:val="00FE0910"/>
    <w:rsid w:val="00FE0C47"/>
    <w:rsid w:val="00FE0D09"/>
    <w:rsid w:val="00FE140D"/>
    <w:rsid w:val="00FE20FF"/>
    <w:rsid w:val="00FE5D43"/>
    <w:rsid w:val="00FE6AB9"/>
    <w:rsid w:val="00FF0217"/>
    <w:rsid w:val="00FF4374"/>
    <w:rsid w:val="00FF7D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469D9"/>
  <w15:docId w15:val="{74422E56-96A1-FA43-9B3B-D3435DFFF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9A6"/>
    <w:rPr>
      <w:sz w:val="24"/>
      <w:szCs w:val="24"/>
      <w:lang w:val="en-GB" w:eastAsia="en-US"/>
    </w:rPr>
  </w:style>
  <w:style w:type="paragraph" w:styleId="Heading1">
    <w:name w:val="heading 1"/>
    <w:basedOn w:val="Normal"/>
    <w:next w:val="Normal"/>
    <w:qFormat/>
    <w:rsid w:val="00A339A6"/>
    <w:pPr>
      <w:keepNext/>
      <w:jc w:val="both"/>
      <w:outlineLvl w:val="0"/>
    </w:pPr>
    <w:rPr>
      <w:b/>
      <w:bCs/>
      <w:lang w:val="lv-LV"/>
    </w:rPr>
  </w:style>
  <w:style w:type="paragraph" w:styleId="Heading2">
    <w:name w:val="heading 2"/>
    <w:basedOn w:val="Normal"/>
    <w:next w:val="Normal"/>
    <w:qFormat/>
    <w:rsid w:val="00A339A6"/>
    <w:pPr>
      <w:keepNext/>
      <w:jc w:val="center"/>
      <w:outlineLvl w:val="1"/>
    </w:pPr>
    <w:rPr>
      <w:noProof/>
      <w:sz w:val="28"/>
      <w:lang w:val="de-DE"/>
    </w:rPr>
  </w:style>
  <w:style w:type="paragraph" w:styleId="Heading3">
    <w:name w:val="heading 3"/>
    <w:basedOn w:val="Normal"/>
    <w:next w:val="Normal"/>
    <w:qFormat/>
    <w:rsid w:val="00A339A6"/>
    <w:pPr>
      <w:keepNext/>
      <w:ind w:right="-1"/>
      <w:jc w:val="center"/>
      <w:outlineLvl w:val="2"/>
    </w:pPr>
    <w:rPr>
      <w:b/>
      <w:bCs/>
      <w:sz w:val="28"/>
    </w:rPr>
  </w:style>
  <w:style w:type="paragraph" w:styleId="Heading4">
    <w:name w:val="heading 4"/>
    <w:basedOn w:val="Normal"/>
    <w:qFormat/>
    <w:rsid w:val="00A339A6"/>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339A6"/>
    <w:rPr>
      <w:b/>
      <w:bCs/>
    </w:rPr>
  </w:style>
  <w:style w:type="paragraph" w:styleId="NormalWeb">
    <w:name w:val="Normal (Web)"/>
    <w:basedOn w:val="Normal"/>
    <w:rsid w:val="00A339A6"/>
    <w:pPr>
      <w:spacing w:before="100" w:beforeAutospacing="1" w:after="100" w:afterAutospacing="1"/>
    </w:pPr>
    <w:rPr>
      <w:rFonts w:ascii="Arial Unicode MS" w:eastAsia="Arial Unicode MS" w:hAnsi="Arial Unicode MS"/>
      <w:lang w:val="lv-LV"/>
    </w:rPr>
  </w:style>
  <w:style w:type="paragraph" w:styleId="Header">
    <w:name w:val="header"/>
    <w:basedOn w:val="Normal"/>
    <w:link w:val="HeaderChar"/>
    <w:uiPriority w:val="99"/>
    <w:rsid w:val="00A339A6"/>
    <w:pPr>
      <w:tabs>
        <w:tab w:val="center" w:pos="4153"/>
        <w:tab w:val="right" w:pos="8306"/>
      </w:tabs>
    </w:pPr>
    <w:rPr>
      <w:lang w:val="lv-LV"/>
    </w:rPr>
  </w:style>
  <w:style w:type="paragraph" w:styleId="Footer">
    <w:name w:val="footer"/>
    <w:basedOn w:val="Normal"/>
    <w:link w:val="FooterChar"/>
    <w:uiPriority w:val="99"/>
    <w:rsid w:val="00A339A6"/>
    <w:pPr>
      <w:tabs>
        <w:tab w:val="center" w:pos="4153"/>
        <w:tab w:val="right" w:pos="8306"/>
      </w:tabs>
    </w:pPr>
    <w:rPr>
      <w:lang w:val="lv-LV"/>
    </w:rPr>
  </w:style>
  <w:style w:type="paragraph" w:styleId="BodyText">
    <w:name w:val="Body Text"/>
    <w:basedOn w:val="Normal"/>
    <w:semiHidden/>
    <w:rsid w:val="00A339A6"/>
    <w:pPr>
      <w:jc w:val="both"/>
    </w:pPr>
    <w:rPr>
      <w:i/>
      <w:iCs/>
      <w:lang w:val="lv-LV"/>
    </w:rPr>
  </w:style>
  <w:style w:type="paragraph" w:styleId="BodyText2">
    <w:name w:val="Body Text 2"/>
    <w:basedOn w:val="Normal"/>
    <w:semiHidden/>
    <w:rsid w:val="00A339A6"/>
    <w:pPr>
      <w:jc w:val="both"/>
    </w:pPr>
    <w:rPr>
      <w:lang w:val="lv-LV"/>
    </w:rPr>
  </w:style>
  <w:style w:type="paragraph" w:styleId="BodyTextIndent">
    <w:name w:val="Body Text Indent"/>
    <w:basedOn w:val="Normal"/>
    <w:semiHidden/>
    <w:rsid w:val="00A339A6"/>
    <w:pPr>
      <w:ind w:left="720"/>
      <w:jc w:val="both"/>
    </w:pPr>
    <w:rPr>
      <w:lang w:val="lv-LV"/>
    </w:rPr>
  </w:style>
  <w:style w:type="paragraph" w:styleId="BodyTextIndent2">
    <w:name w:val="Body Text Indent 2"/>
    <w:basedOn w:val="Normal"/>
    <w:semiHidden/>
    <w:rsid w:val="00A339A6"/>
    <w:pPr>
      <w:ind w:left="360"/>
      <w:jc w:val="both"/>
    </w:pPr>
    <w:rPr>
      <w:lang w:val="lv-LV"/>
    </w:rPr>
  </w:style>
  <w:style w:type="character" w:styleId="PageNumber">
    <w:name w:val="page number"/>
    <w:basedOn w:val="DefaultParagraphFont"/>
    <w:semiHidden/>
    <w:rsid w:val="00A339A6"/>
  </w:style>
  <w:style w:type="paragraph" w:styleId="BalloonText">
    <w:name w:val="Balloon Text"/>
    <w:basedOn w:val="Normal"/>
    <w:semiHidden/>
    <w:rsid w:val="00A339A6"/>
    <w:rPr>
      <w:rFonts w:ascii="Tahoma" w:hAnsi="Tahoma" w:cs="Tahoma"/>
      <w:sz w:val="16"/>
      <w:szCs w:val="16"/>
    </w:rPr>
  </w:style>
  <w:style w:type="character" w:styleId="CommentReference">
    <w:name w:val="annotation reference"/>
    <w:uiPriority w:val="99"/>
    <w:semiHidden/>
    <w:rsid w:val="00A339A6"/>
    <w:rPr>
      <w:sz w:val="16"/>
      <w:szCs w:val="16"/>
    </w:rPr>
  </w:style>
  <w:style w:type="paragraph" w:styleId="CommentText">
    <w:name w:val="annotation text"/>
    <w:basedOn w:val="Normal"/>
    <w:link w:val="CommentTextChar"/>
    <w:semiHidden/>
    <w:rsid w:val="00A339A6"/>
    <w:rPr>
      <w:sz w:val="20"/>
      <w:szCs w:val="20"/>
    </w:rPr>
  </w:style>
  <w:style w:type="paragraph" w:styleId="CommentSubject">
    <w:name w:val="annotation subject"/>
    <w:basedOn w:val="CommentText"/>
    <w:next w:val="CommentText"/>
    <w:semiHidden/>
    <w:rsid w:val="00A339A6"/>
    <w:rPr>
      <w:b/>
      <w:bCs/>
    </w:rPr>
  </w:style>
  <w:style w:type="paragraph" w:customStyle="1" w:styleId="naisf">
    <w:name w:val="naisf"/>
    <w:basedOn w:val="Normal"/>
    <w:rsid w:val="00A339A6"/>
    <w:pPr>
      <w:spacing w:before="100" w:beforeAutospacing="1" w:after="100" w:afterAutospacing="1"/>
      <w:jc w:val="both"/>
    </w:pPr>
    <w:rPr>
      <w:rFonts w:eastAsia="Arial Unicode MS"/>
    </w:rPr>
  </w:style>
  <w:style w:type="paragraph" w:customStyle="1" w:styleId="Nobeigums">
    <w:name w:val="Nobeigums"/>
    <w:basedOn w:val="Normal"/>
    <w:rsid w:val="004342A2"/>
    <w:rPr>
      <w:szCs w:val="20"/>
      <w:lang w:val="en-US"/>
    </w:rPr>
  </w:style>
  <w:style w:type="character" w:styleId="Hyperlink">
    <w:name w:val="Hyperlink"/>
    <w:uiPriority w:val="99"/>
    <w:unhideWhenUsed/>
    <w:rsid w:val="004342A2"/>
    <w:rPr>
      <w:color w:val="0000FF"/>
      <w:u w:val="single"/>
    </w:rPr>
  </w:style>
  <w:style w:type="paragraph" w:customStyle="1" w:styleId="Default">
    <w:name w:val="Default"/>
    <w:rsid w:val="0096223F"/>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96223F"/>
    <w:rPr>
      <w:rFonts w:cs="Times New Roman"/>
      <w:color w:val="auto"/>
    </w:rPr>
  </w:style>
  <w:style w:type="paragraph" w:customStyle="1" w:styleId="CM3">
    <w:name w:val="CM3"/>
    <w:basedOn w:val="Default"/>
    <w:next w:val="Default"/>
    <w:uiPriority w:val="99"/>
    <w:rsid w:val="0096223F"/>
    <w:rPr>
      <w:rFonts w:cs="Times New Roman"/>
      <w:color w:val="auto"/>
    </w:rPr>
  </w:style>
  <w:style w:type="paragraph" w:customStyle="1" w:styleId="CM4">
    <w:name w:val="CM4"/>
    <w:basedOn w:val="Default"/>
    <w:next w:val="Default"/>
    <w:uiPriority w:val="99"/>
    <w:rsid w:val="0096223F"/>
    <w:rPr>
      <w:rFonts w:cs="Times New Roman"/>
      <w:color w:val="auto"/>
    </w:rPr>
  </w:style>
  <w:style w:type="paragraph" w:styleId="ListParagraph">
    <w:name w:val="List Paragraph"/>
    <w:basedOn w:val="Normal"/>
    <w:uiPriority w:val="34"/>
    <w:qFormat/>
    <w:rsid w:val="0038136C"/>
    <w:pPr>
      <w:ind w:left="720"/>
      <w:contextualSpacing/>
    </w:pPr>
  </w:style>
  <w:style w:type="character" w:customStyle="1" w:styleId="HeaderChar">
    <w:name w:val="Header Char"/>
    <w:basedOn w:val="DefaultParagraphFont"/>
    <w:link w:val="Header"/>
    <w:uiPriority w:val="99"/>
    <w:rsid w:val="0010041F"/>
    <w:rPr>
      <w:sz w:val="24"/>
      <w:szCs w:val="24"/>
      <w:lang w:eastAsia="en-US"/>
    </w:rPr>
  </w:style>
  <w:style w:type="paragraph" w:customStyle="1" w:styleId="Normal1">
    <w:name w:val="Normal1"/>
    <w:basedOn w:val="Normal"/>
    <w:rsid w:val="00DC5A39"/>
    <w:pPr>
      <w:spacing w:before="100" w:beforeAutospacing="1" w:after="100" w:afterAutospacing="1"/>
    </w:pPr>
    <w:rPr>
      <w:lang w:val="en-US"/>
    </w:rPr>
  </w:style>
  <w:style w:type="character" w:styleId="FollowedHyperlink">
    <w:name w:val="FollowedHyperlink"/>
    <w:basedOn w:val="DefaultParagraphFont"/>
    <w:uiPriority w:val="99"/>
    <w:semiHidden/>
    <w:unhideWhenUsed/>
    <w:rsid w:val="00740AAE"/>
    <w:rPr>
      <w:color w:val="800080" w:themeColor="followedHyperlink"/>
      <w:u w:val="single"/>
    </w:rPr>
  </w:style>
  <w:style w:type="paragraph" w:customStyle="1" w:styleId="tv213">
    <w:name w:val="tv213"/>
    <w:basedOn w:val="Normal"/>
    <w:rsid w:val="002A2305"/>
    <w:pPr>
      <w:spacing w:before="100" w:beforeAutospacing="1" w:after="100" w:afterAutospacing="1"/>
    </w:pPr>
    <w:rPr>
      <w:lang w:val="lv-LV" w:eastAsia="lv-LV"/>
    </w:rPr>
  </w:style>
  <w:style w:type="character" w:customStyle="1" w:styleId="CommentTextChar">
    <w:name w:val="Comment Text Char"/>
    <w:basedOn w:val="DefaultParagraphFont"/>
    <w:link w:val="CommentText"/>
    <w:semiHidden/>
    <w:rsid w:val="00670212"/>
    <w:rPr>
      <w:lang w:val="en-GB" w:eastAsia="en-US"/>
    </w:rPr>
  </w:style>
  <w:style w:type="paragraph" w:styleId="Revision">
    <w:name w:val="Revision"/>
    <w:hidden/>
    <w:uiPriority w:val="99"/>
    <w:semiHidden/>
    <w:rsid w:val="00670212"/>
    <w:rPr>
      <w:sz w:val="24"/>
      <w:szCs w:val="24"/>
      <w:lang w:val="en-GB" w:eastAsia="en-US"/>
    </w:rPr>
  </w:style>
  <w:style w:type="character" w:customStyle="1" w:styleId="italic">
    <w:name w:val="italic"/>
    <w:basedOn w:val="DefaultParagraphFont"/>
    <w:rsid w:val="00D83946"/>
  </w:style>
  <w:style w:type="paragraph" w:styleId="FootnoteText">
    <w:name w:val="footnote text"/>
    <w:basedOn w:val="Normal"/>
    <w:link w:val="FootnoteTextChar"/>
    <w:uiPriority w:val="99"/>
    <w:semiHidden/>
    <w:unhideWhenUsed/>
    <w:rsid w:val="00A710E6"/>
    <w:rPr>
      <w:sz w:val="20"/>
      <w:szCs w:val="20"/>
    </w:rPr>
  </w:style>
  <w:style w:type="character" w:customStyle="1" w:styleId="FootnoteTextChar">
    <w:name w:val="Footnote Text Char"/>
    <w:basedOn w:val="DefaultParagraphFont"/>
    <w:link w:val="FootnoteText"/>
    <w:uiPriority w:val="99"/>
    <w:semiHidden/>
    <w:rsid w:val="00A710E6"/>
    <w:rPr>
      <w:lang w:val="en-GB" w:eastAsia="en-US"/>
    </w:rPr>
  </w:style>
  <w:style w:type="character" w:styleId="FootnoteReference">
    <w:name w:val="footnote reference"/>
    <w:basedOn w:val="DefaultParagraphFont"/>
    <w:uiPriority w:val="99"/>
    <w:semiHidden/>
    <w:unhideWhenUsed/>
    <w:rsid w:val="00A710E6"/>
    <w:rPr>
      <w:vertAlign w:val="superscript"/>
    </w:rPr>
  </w:style>
  <w:style w:type="paragraph" w:customStyle="1" w:styleId="Normal2">
    <w:name w:val="Normal2"/>
    <w:basedOn w:val="Normal"/>
    <w:rsid w:val="002959A4"/>
    <w:pPr>
      <w:spacing w:before="100" w:beforeAutospacing="1" w:after="100" w:afterAutospacing="1"/>
    </w:pPr>
    <w:rPr>
      <w:lang w:val="en-US"/>
    </w:rPr>
  </w:style>
  <w:style w:type="paragraph" w:styleId="EndnoteText">
    <w:name w:val="endnote text"/>
    <w:basedOn w:val="Normal"/>
    <w:link w:val="EndnoteTextChar"/>
    <w:uiPriority w:val="99"/>
    <w:semiHidden/>
    <w:unhideWhenUsed/>
    <w:rsid w:val="00FA5288"/>
    <w:rPr>
      <w:sz w:val="20"/>
      <w:szCs w:val="20"/>
    </w:rPr>
  </w:style>
  <w:style w:type="character" w:customStyle="1" w:styleId="EndnoteTextChar">
    <w:name w:val="Endnote Text Char"/>
    <w:basedOn w:val="DefaultParagraphFont"/>
    <w:link w:val="EndnoteText"/>
    <w:uiPriority w:val="99"/>
    <w:semiHidden/>
    <w:rsid w:val="00FA5288"/>
    <w:rPr>
      <w:lang w:val="en-GB" w:eastAsia="en-US"/>
    </w:rPr>
  </w:style>
  <w:style w:type="character" w:styleId="EndnoteReference">
    <w:name w:val="endnote reference"/>
    <w:basedOn w:val="DefaultParagraphFont"/>
    <w:uiPriority w:val="99"/>
    <w:semiHidden/>
    <w:unhideWhenUsed/>
    <w:rsid w:val="00FA5288"/>
    <w:rPr>
      <w:vertAlign w:val="superscript"/>
    </w:rPr>
  </w:style>
  <w:style w:type="paragraph" w:customStyle="1" w:styleId="Normal3">
    <w:name w:val="Normal3"/>
    <w:basedOn w:val="Normal"/>
    <w:rsid w:val="006C29E2"/>
    <w:pPr>
      <w:spacing w:before="100" w:beforeAutospacing="1" w:after="100" w:afterAutospacing="1"/>
    </w:pPr>
    <w:rPr>
      <w:lang w:val="en-US"/>
    </w:rPr>
  </w:style>
  <w:style w:type="character" w:customStyle="1" w:styleId="FooterChar">
    <w:name w:val="Footer Char"/>
    <w:basedOn w:val="DefaultParagraphFont"/>
    <w:link w:val="Footer"/>
    <w:uiPriority w:val="99"/>
    <w:rsid w:val="00C86877"/>
    <w:rPr>
      <w:sz w:val="24"/>
      <w:szCs w:val="24"/>
      <w:lang w:eastAsia="en-US"/>
    </w:rPr>
  </w:style>
  <w:style w:type="character" w:customStyle="1" w:styleId="word">
    <w:name w:val="word"/>
    <w:basedOn w:val="DefaultParagraphFont"/>
    <w:rsid w:val="00713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4193">
      <w:bodyDiv w:val="1"/>
      <w:marLeft w:val="0"/>
      <w:marRight w:val="0"/>
      <w:marTop w:val="0"/>
      <w:marBottom w:val="0"/>
      <w:divBdr>
        <w:top w:val="none" w:sz="0" w:space="0" w:color="auto"/>
        <w:left w:val="none" w:sz="0" w:space="0" w:color="auto"/>
        <w:bottom w:val="none" w:sz="0" w:space="0" w:color="auto"/>
        <w:right w:val="none" w:sz="0" w:space="0" w:color="auto"/>
      </w:divBdr>
    </w:div>
    <w:div w:id="46496398">
      <w:bodyDiv w:val="1"/>
      <w:marLeft w:val="0"/>
      <w:marRight w:val="0"/>
      <w:marTop w:val="0"/>
      <w:marBottom w:val="0"/>
      <w:divBdr>
        <w:top w:val="none" w:sz="0" w:space="0" w:color="auto"/>
        <w:left w:val="none" w:sz="0" w:space="0" w:color="auto"/>
        <w:bottom w:val="none" w:sz="0" w:space="0" w:color="auto"/>
        <w:right w:val="none" w:sz="0" w:space="0" w:color="auto"/>
      </w:divBdr>
    </w:div>
    <w:div w:id="445777293">
      <w:bodyDiv w:val="1"/>
      <w:marLeft w:val="0"/>
      <w:marRight w:val="0"/>
      <w:marTop w:val="0"/>
      <w:marBottom w:val="0"/>
      <w:divBdr>
        <w:top w:val="none" w:sz="0" w:space="0" w:color="auto"/>
        <w:left w:val="none" w:sz="0" w:space="0" w:color="auto"/>
        <w:bottom w:val="none" w:sz="0" w:space="0" w:color="auto"/>
        <w:right w:val="none" w:sz="0" w:space="0" w:color="auto"/>
      </w:divBdr>
      <w:divsChild>
        <w:div w:id="1187061883">
          <w:marLeft w:val="0"/>
          <w:marRight w:val="0"/>
          <w:marTop w:val="0"/>
          <w:marBottom w:val="0"/>
          <w:divBdr>
            <w:top w:val="none" w:sz="0" w:space="0" w:color="auto"/>
            <w:left w:val="none" w:sz="0" w:space="0" w:color="auto"/>
            <w:bottom w:val="none" w:sz="0" w:space="0" w:color="auto"/>
            <w:right w:val="none" w:sz="0" w:space="0" w:color="auto"/>
          </w:divBdr>
        </w:div>
        <w:div w:id="341393273">
          <w:marLeft w:val="0"/>
          <w:marRight w:val="0"/>
          <w:marTop w:val="0"/>
          <w:marBottom w:val="0"/>
          <w:divBdr>
            <w:top w:val="none" w:sz="0" w:space="0" w:color="auto"/>
            <w:left w:val="none" w:sz="0" w:space="0" w:color="auto"/>
            <w:bottom w:val="none" w:sz="0" w:space="0" w:color="auto"/>
            <w:right w:val="none" w:sz="0" w:space="0" w:color="auto"/>
          </w:divBdr>
        </w:div>
      </w:divsChild>
    </w:div>
    <w:div w:id="452595214">
      <w:bodyDiv w:val="1"/>
      <w:marLeft w:val="0"/>
      <w:marRight w:val="0"/>
      <w:marTop w:val="0"/>
      <w:marBottom w:val="0"/>
      <w:divBdr>
        <w:top w:val="none" w:sz="0" w:space="0" w:color="auto"/>
        <w:left w:val="none" w:sz="0" w:space="0" w:color="auto"/>
        <w:bottom w:val="none" w:sz="0" w:space="0" w:color="auto"/>
        <w:right w:val="none" w:sz="0" w:space="0" w:color="auto"/>
      </w:divBdr>
    </w:div>
    <w:div w:id="648443441">
      <w:bodyDiv w:val="1"/>
      <w:marLeft w:val="0"/>
      <w:marRight w:val="0"/>
      <w:marTop w:val="0"/>
      <w:marBottom w:val="0"/>
      <w:divBdr>
        <w:top w:val="none" w:sz="0" w:space="0" w:color="auto"/>
        <w:left w:val="none" w:sz="0" w:space="0" w:color="auto"/>
        <w:bottom w:val="none" w:sz="0" w:space="0" w:color="auto"/>
        <w:right w:val="none" w:sz="0" w:space="0" w:color="auto"/>
      </w:divBdr>
      <w:divsChild>
        <w:div w:id="1473139874">
          <w:marLeft w:val="0"/>
          <w:marRight w:val="0"/>
          <w:marTop w:val="0"/>
          <w:marBottom w:val="0"/>
          <w:divBdr>
            <w:top w:val="none" w:sz="0" w:space="0" w:color="auto"/>
            <w:left w:val="none" w:sz="0" w:space="0" w:color="auto"/>
            <w:bottom w:val="none" w:sz="0" w:space="0" w:color="auto"/>
            <w:right w:val="none" w:sz="0" w:space="0" w:color="auto"/>
          </w:divBdr>
        </w:div>
        <w:div w:id="1878275105">
          <w:marLeft w:val="0"/>
          <w:marRight w:val="0"/>
          <w:marTop w:val="0"/>
          <w:marBottom w:val="0"/>
          <w:divBdr>
            <w:top w:val="none" w:sz="0" w:space="0" w:color="auto"/>
            <w:left w:val="none" w:sz="0" w:space="0" w:color="auto"/>
            <w:bottom w:val="none" w:sz="0" w:space="0" w:color="auto"/>
            <w:right w:val="none" w:sz="0" w:space="0" w:color="auto"/>
          </w:divBdr>
        </w:div>
        <w:div w:id="1637564433">
          <w:marLeft w:val="0"/>
          <w:marRight w:val="0"/>
          <w:marTop w:val="0"/>
          <w:marBottom w:val="0"/>
          <w:divBdr>
            <w:top w:val="none" w:sz="0" w:space="0" w:color="auto"/>
            <w:left w:val="none" w:sz="0" w:space="0" w:color="auto"/>
            <w:bottom w:val="none" w:sz="0" w:space="0" w:color="auto"/>
            <w:right w:val="none" w:sz="0" w:space="0" w:color="auto"/>
          </w:divBdr>
        </w:div>
        <w:div w:id="1708604153">
          <w:marLeft w:val="0"/>
          <w:marRight w:val="0"/>
          <w:marTop w:val="0"/>
          <w:marBottom w:val="0"/>
          <w:divBdr>
            <w:top w:val="none" w:sz="0" w:space="0" w:color="auto"/>
            <w:left w:val="none" w:sz="0" w:space="0" w:color="auto"/>
            <w:bottom w:val="none" w:sz="0" w:space="0" w:color="auto"/>
            <w:right w:val="none" w:sz="0" w:space="0" w:color="auto"/>
          </w:divBdr>
        </w:div>
        <w:div w:id="1864249295">
          <w:marLeft w:val="0"/>
          <w:marRight w:val="0"/>
          <w:marTop w:val="0"/>
          <w:marBottom w:val="0"/>
          <w:divBdr>
            <w:top w:val="none" w:sz="0" w:space="0" w:color="auto"/>
            <w:left w:val="none" w:sz="0" w:space="0" w:color="auto"/>
            <w:bottom w:val="none" w:sz="0" w:space="0" w:color="auto"/>
            <w:right w:val="none" w:sz="0" w:space="0" w:color="auto"/>
          </w:divBdr>
        </w:div>
      </w:divsChild>
    </w:div>
    <w:div w:id="969896871">
      <w:bodyDiv w:val="1"/>
      <w:marLeft w:val="0"/>
      <w:marRight w:val="0"/>
      <w:marTop w:val="0"/>
      <w:marBottom w:val="0"/>
      <w:divBdr>
        <w:top w:val="none" w:sz="0" w:space="0" w:color="auto"/>
        <w:left w:val="none" w:sz="0" w:space="0" w:color="auto"/>
        <w:bottom w:val="none" w:sz="0" w:space="0" w:color="auto"/>
        <w:right w:val="none" w:sz="0" w:space="0" w:color="auto"/>
      </w:divBdr>
    </w:div>
    <w:div w:id="1333870969">
      <w:bodyDiv w:val="1"/>
      <w:marLeft w:val="0"/>
      <w:marRight w:val="0"/>
      <w:marTop w:val="0"/>
      <w:marBottom w:val="0"/>
      <w:divBdr>
        <w:top w:val="none" w:sz="0" w:space="0" w:color="auto"/>
        <w:left w:val="none" w:sz="0" w:space="0" w:color="auto"/>
        <w:bottom w:val="none" w:sz="0" w:space="0" w:color="auto"/>
        <w:right w:val="none" w:sz="0" w:space="0" w:color="auto"/>
      </w:divBdr>
    </w:div>
    <w:div w:id="1383139667">
      <w:bodyDiv w:val="1"/>
      <w:marLeft w:val="0"/>
      <w:marRight w:val="0"/>
      <w:marTop w:val="0"/>
      <w:marBottom w:val="0"/>
      <w:divBdr>
        <w:top w:val="none" w:sz="0" w:space="0" w:color="auto"/>
        <w:left w:val="none" w:sz="0" w:space="0" w:color="auto"/>
        <w:bottom w:val="none" w:sz="0" w:space="0" w:color="auto"/>
        <w:right w:val="none" w:sz="0" w:space="0" w:color="auto"/>
      </w:divBdr>
    </w:div>
    <w:div w:id="1422525492">
      <w:bodyDiv w:val="1"/>
      <w:marLeft w:val="0"/>
      <w:marRight w:val="0"/>
      <w:marTop w:val="0"/>
      <w:marBottom w:val="0"/>
      <w:divBdr>
        <w:top w:val="none" w:sz="0" w:space="0" w:color="auto"/>
        <w:left w:val="none" w:sz="0" w:space="0" w:color="auto"/>
        <w:bottom w:val="none" w:sz="0" w:space="0" w:color="auto"/>
        <w:right w:val="none" w:sz="0" w:space="0" w:color="auto"/>
      </w:divBdr>
      <w:divsChild>
        <w:div w:id="439497106">
          <w:marLeft w:val="0"/>
          <w:marRight w:val="0"/>
          <w:marTop w:val="0"/>
          <w:marBottom w:val="0"/>
          <w:divBdr>
            <w:top w:val="none" w:sz="0" w:space="0" w:color="auto"/>
            <w:left w:val="none" w:sz="0" w:space="0" w:color="auto"/>
            <w:bottom w:val="none" w:sz="0" w:space="0" w:color="auto"/>
            <w:right w:val="none" w:sz="0" w:space="0" w:color="auto"/>
          </w:divBdr>
        </w:div>
        <w:div w:id="1149129528">
          <w:marLeft w:val="0"/>
          <w:marRight w:val="0"/>
          <w:marTop w:val="0"/>
          <w:marBottom w:val="0"/>
          <w:divBdr>
            <w:top w:val="none" w:sz="0" w:space="0" w:color="auto"/>
            <w:left w:val="none" w:sz="0" w:space="0" w:color="auto"/>
            <w:bottom w:val="none" w:sz="0" w:space="0" w:color="auto"/>
            <w:right w:val="none" w:sz="0" w:space="0" w:color="auto"/>
          </w:divBdr>
        </w:div>
        <w:div w:id="844828879">
          <w:marLeft w:val="0"/>
          <w:marRight w:val="0"/>
          <w:marTop w:val="0"/>
          <w:marBottom w:val="0"/>
          <w:divBdr>
            <w:top w:val="none" w:sz="0" w:space="0" w:color="auto"/>
            <w:left w:val="none" w:sz="0" w:space="0" w:color="auto"/>
            <w:bottom w:val="none" w:sz="0" w:space="0" w:color="auto"/>
            <w:right w:val="none" w:sz="0" w:space="0" w:color="auto"/>
          </w:divBdr>
        </w:div>
      </w:divsChild>
    </w:div>
    <w:div w:id="1838956411">
      <w:bodyDiv w:val="1"/>
      <w:marLeft w:val="0"/>
      <w:marRight w:val="0"/>
      <w:marTop w:val="0"/>
      <w:marBottom w:val="0"/>
      <w:divBdr>
        <w:top w:val="none" w:sz="0" w:space="0" w:color="auto"/>
        <w:left w:val="none" w:sz="0" w:space="0" w:color="auto"/>
        <w:bottom w:val="none" w:sz="0" w:space="0" w:color="auto"/>
        <w:right w:val="none" w:sz="0" w:space="0" w:color="auto"/>
      </w:divBdr>
      <w:divsChild>
        <w:div w:id="1472558754">
          <w:marLeft w:val="0"/>
          <w:marRight w:val="0"/>
          <w:marTop w:val="0"/>
          <w:marBottom w:val="0"/>
          <w:divBdr>
            <w:top w:val="none" w:sz="0" w:space="0" w:color="auto"/>
            <w:left w:val="none" w:sz="0" w:space="0" w:color="auto"/>
            <w:bottom w:val="none" w:sz="0" w:space="0" w:color="auto"/>
            <w:right w:val="none" w:sz="0" w:space="0" w:color="auto"/>
          </w:divBdr>
        </w:div>
        <w:div w:id="1346057217">
          <w:marLeft w:val="0"/>
          <w:marRight w:val="0"/>
          <w:marTop w:val="0"/>
          <w:marBottom w:val="0"/>
          <w:divBdr>
            <w:top w:val="none" w:sz="0" w:space="0" w:color="auto"/>
            <w:left w:val="none" w:sz="0" w:space="0" w:color="auto"/>
            <w:bottom w:val="none" w:sz="0" w:space="0" w:color="auto"/>
            <w:right w:val="none" w:sz="0" w:space="0" w:color="auto"/>
          </w:divBdr>
        </w:div>
        <w:div w:id="691759771">
          <w:marLeft w:val="0"/>
          <w:marRight w:val="0"/>
          <w:marTop w:val="0"/>
          <w:marBottom w:val="0"/>
          <w:divBdr>
            <w:top w:val="none" w:sz="0" w:space="0" w:color="auto"/>
            <w:left w:val="none" w:sz="0" w:space="0" w:color="auto"/>
            <w:bottom w:val="none" w:sz="0" w:space="0" w:color="auto"/>
            <w:right w:val="none" w:sz="0" w:space="0" w:color="auto"/>
          </w:divBdr>
        </w:div>
      </w:divsChild>
    </w:div>
    <w:div w:id="1904483341">
      <w:bodyDiv w:val="1"/>
      <w:marLeft w:val="0"/>
      <w:marRight w:val="0"/>
      <w:marTop w:val="0"/>
      <w:marBottom w:val="0"/>
      <w:divBdr>
        <w:top w:val="none" w:sz="0" w:space="0" w:color="auto"/>
        <w:left w:val="none" w:sz="0" w:space="0" w:color="auto"/>
        <w:bottom w:val="none" w:sz="0" w:space="0" w:color="auto"/>
        <w:right w:val="none" w:sz="0" w:space="0" w:color="auto"/>
      </w:divBdr>
      <w:divsChild>
        <w:div w:id="572936471">
          <w:marLeft w:val="0"/>
          <w:marRight w:val="0"/>
          <w:marTop w:val="0"/>
          <w:marBottom w:val="0"/>
          <w:divBdr>
            <w:top w:val="none" w:sz="0" w:space="0" w:color="auto"/>
            <w:left w:val="none" w:sz="0" w:space="0" w:color="auto"/>
            <w:bottom w:val="none" w:sz="0" w:space="0" w:color="auto"/>
            <w:right w:val="none" w:sz="0" w:space="0" w:color="auto"/>
          </w:divBdr>
        </w:div>
        <w:div w:id="276832152">
          <w:marLeft w:val="0"/>
          <w:marRight w:val="0"/>
          <w:marTop w:val="0"/>
          <w:marBottom w:val="0"/>
          <w:divBdr>
            <w:top w:val="none" w:sz="0" w:space="0" w:color="auto"/>
            <w:left w:val="none" w:sz="0" w:space="0" w:color="auto"/>
            <w:bottom w:val="none" w:sz="0" w:space="0" w:color="auto"/>
            <w:right w:val="none" w:sz="0" w:space="0" w:color="auto"/>
          </w:divBdr>
        </w:div>
        <w:div w:id="455682537">
          <w:marLeft w:val="0"/>
          <w:marRight w:val="0"/>
          <w:marTop w:val="0"/>
          <w:marBottom w:val="0"/>
          <w:divBdr>
            <w:top w:val="none" w:sz="0" w:space="0" w:color="auto"/>
            <w:left w:val="none" w:sz="0" w:space="0" w:color="auto"/>
            <w:bottom w:val="none" w:sz="0" w:space="0" w:color="auto"/>
            <w:right w:val="none" w:sz="0" w:space="0" w:color="auto"/>
          </w:divBdr>
        </w:div>
        <w:div w:id="1565140948">
          <w:marLeft w:val="0"/>
          <w:marRight w:val="0"/>
          <w:marTop w:val="0"/>
          <w:marBottom w:val="0"/>
          <w:divBdr>
            <w:top w:val="none" w:sz="0" w:space="0" w:color="auto"/>
            <w:left w:val="none" w:sz="0" w:space="0" w:color="auto"/>
            <w:bottom w:val="none" w:sz="0" w:space="0" w:color="auto"/>
            <w:right w:val="none" w:sz="0" w:space="0" w:color="auto"/>
          </w:divBdr>
        </w:div>
      </w:divsChild>
    </w:div>
    <w:div w:id="1925603883">
      <w:bodyDiv w:val="1"/>
      <w:marLeft w:val="0"/>
      <w:marRight w:val="0"/>
      <w:marTop w:val="0"/>
      <w:marBottom w:val="0"/>
      <w:divBdr>
        <w:top w:val="none" w:sz="0" w:space="0" w:color="auto"/>
        <w:left w:val="none" w:sz="0" w:space="0" w:color="auto"/>
        <w:bottom w:val="none" w:sz="0" w:space="0" w:color="auto"/>
        <w:right w:val="none" w:sz="0" w:space="0" w:color="auto"/>
      </w:divBdr>
    </w:div>
    <w:div w:id="1974675209">
      <w:bodyDiv w:val="1"/>
      <w:marLeft w:val="0"/>
      <w:marRight w:val="0"/>
      <w:marTop w:val="0"/>
      <w:marBottom w:val="0"/>
      <w:divBdr>
        <w:top w:val="none" w:sz="0" w:space="0" w:color="auto"/>
        <w:left w:val="none" w:sz="0" w:space="0" w:color="auto"/>
        <w:bottom w:val="none" w:sz="0" w:space="0" w:color="auto"/>
        <w:right w:val="none" w:sz="0" w:space="0" w:color="auto"/>
      </w:divBdr>
    </w:div>
    <w:div w:id="2013215428">
      <w:bodyDiv w:val="1"/>
      <w:marLeft w:val="0"/>
      <w:marRight w:val="0"/>
      <w:marTop w:val="0"/>
      <w:marBottom w:val="0"/>
      <w:divBdr>
        <w:top w:val="none" w:sz="0" w:space="0" w:color="auto"/>
        <w:left w:val="none" w:sz="0" w:space="0" w:color="auto"/>
        <w:bottom w:val="none" w:sz="0" w:space="0" w:color="auto"/>
        <w:right w:val="none" w:sz="0" w:space="0" w:color="auto"/>
      </w:divBdr>
      <w:divsChild>
        <w:div w:id="2100985271">
          <w:marLeft w:val="0"/>
          <w:marRight w:val="0"/>
          <w:marTop w:val="0"/>
          <w:marBottom w:val="0"/>
          <w:divBdr>
            <w:top w:val="none" w:sz="0" w:space="0" w:color="auto"/>
            <w:left w:val="none" w:sz="0" w:space="0" w:color="auto"/>
            <w:bottom w:val="none" w:sz="0" w:space="0" w:color="auto"/>
            <w:right w:val="none" w:sz="0" w:space="0" w:color="auto"/>
          </w:divBdr>
        </w:div>
        <w:div w:id="102115350">
          <w:marLeft w:val="0"/>
          <w:marRight w:val="0"/>
          <w:marTop w:val="0"/>
          <w:marBottom w:val="0"/>
          <w:divBdr>
            <w:top w:val="none" w:sz="0" w:space="0" w:color="auto"/>
            <w:left w:val="none" w:sz="0" w:space="0" w:color="auto"/>
            <w:bottom w:val="none" w:sz="0" w:space="0" w:color="auto"/>
            <w:right w:val="none" w:sz="0" w:space="0" w:color="auto"/>
          </w:divBdr>
        </w:div>
        <w:div w:id="1839923740">
          <w:marLeft w:val="0"/>
          <w:marRight w:val="0"/>
          <w:marTop w:val="0"/>
          <w:marBottom w:val="0"/>
          <w:divBdr>
            <w:top w:val="none" w:sz="0" w:space="0" w:color="auto"/>
            <w:left w:val="none" w:sz="0" w:space="0" w:color="auto"/>
            <w:bottom w:val="none" w:sz="0" w:space="0" w:color="auto"/>
            <w:right w:val="none" w:sz="0" w:space="0" w:color="auto"/>
          </w:divBdr>
        </w:div>
        <w:div w:id="1928493982">
          <w:marLeft w:val="0"/>
          <w:marRight w:val="0"/>
          <w:marTop w:val="0"/>
          <w:marBottom w:val="0"/>
          <w:divBdr>
            <w:top w:val="none" w:sz="0" w:space="0" w:color="auto"/>
            <w:left w:val="none" w:sz="0" w:space="0" w:color="auto"/>
            <w:bottom w:val="none" w:sz="0" w:space="0" w:color="auto"/>
            <w:right w:val="none" w:sz="0" w:space="0" w:color="auto"/>
          </w:divBdr>
        </w:div>
        <w:div w:id="1988317157">
          <w:marLeft w:val="0"/>
          <w:marRight w:val="0"/>
          <w:marTop w:val="0"/>
          <w:marBottom w:val="0"/>
          <w:divBdr>
            <w:top w:val="none" w:sz="0" w:space="0" w:color="auto"/>
            <w:left w:val="none" w:sz="0" w:space="0" w:color="auto"/>
            <w:bottom w:val="none" w:sz="0" w:space="0" w:color="auto"/>
            <w:right w:val="none" w:sz="0" w:space="0" w:color="auto"/>
          </w:divBdr>
        </w:div>
        <w:div w:id="495851897">
          <w:marLeft w:val="0"/>
          <w:marRight w:val="0"/>
          <w:marTop w:val="0"/>
          <w:marBottom w:val="0"/>
          <w:divBdr>
            <w:top w:val="none" w:sz="0" w:space="0" w:color="auto"/>
            <w:left w:val="none" w:sz="0" w:space="0" w:color="auto"/>
            <w:bottom w:val="none" w:sz="0" w:space="0" w:color="auto"/>
            <w:right w:val="none" w:sz="0" w:space="0" w:color="auto"/>
          </w:divBdr>
        </w:div>
        <w:div w:id="1170296876">
          <w:marLeft w:val="0"/>
          <w:marRight w:val="0"/>
          <w:marTop w:val="0"/>
          <w:marBottom w:val="0"/>
          <w:divBdr>
            <w:top w:val="none" w:sz="0" w:space="0" w:color="auto"/>
            <w:left w:val="none" w:sz="0" w:space="0" w:color="auto"/>
            <w:bottom w:val="none" w:sz="0" w:space="0" w:color="auto"/>
            <w:right w:val="none" w:sz="0" w:space="0" w:color="auto"/>
          </w:divBdr>
        </w:div>
        <w:div w:id="989745564">
          <w:marLeft w:val="0"/>
          <w:marRight w:val="0"/>
          <w:marTop w:val="0"/>
          <w:marBottom w:val="0"/>
          <w:divBdr>
            <w:top w:val="none" w:sz="0" w:space="0" w:color="auto"/>
            <w:left w:val="none" w:sz="0" w:space="0" w:color="auto"/>
            <w:bottom w:val="none" w:sz="0" w:space="0" w:color="auto"/>
            <w:right w:val="none" w:sz="0" w:space="0" w:color="auto"/>
          </w:divBdr>
        </w:div>
        <w:div w:id="2094468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5BE38-24C3-F94C-81F0-DB63119E2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1905</Words>
  <Characters>10864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Spēkā no 21</vt:lpstr>
    </vt:vector>
  </TitlesOfParts>
  <Company>Finansu un kapitala tirgus komisija</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Spēkā no 21</dc:title>
  <dc:creator>Marina Milancevica</dc:creator>
  <cp:lastModifiedBy>Microsoft Office User</cp:lastModifiedBy>
  <cp:revision>2</cp:revision>
  <cp:lastPrinted>2019-08-13T13:41:00Z</cp:lastPrinted>
  <dcterms:created xsi:type="dcterms:W3CDTF">2019-08-20T11:31:00Z</dcterms:created>
  <dcterms:modified xsi:type="dcterms:W3CDTF">2019-08-20T11:31:00Z</dcterms:modified>
</cp:coreProperties>
</file>