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588" w:rsidRPr="003C4DC8" w:rsidRDefault="00397588" w:rsidP="00397588">
      <w:pPr>
        <w:pStyle w:val="Heading1"/>
      </w:pPr>
      <w:bookmarkStart w:id="0" w:name="_GoBack"/>
      <w:r w:rsidRPr="003C4DC8">
        <w:t>Par</w:t>
      </w:r>
      <w:r w:rsidR="00E26BC4">
        <w:t xml:space="preserve"> </w:t>
      </w:r>
      <w:r w:rsidRPr="003C4DC8">
        <w:t>ikgadējo publikāciju par klientu rīkojumu izpildes rezultātiem</w:t>
      </w:r>
    </w:p>
    <w:bookmarkEnd w:id="0"/>
    <w:p w:rsidR="00397588" w:rsidRPr="003C4DC8" w:rsidRDefault="00397588" w:rsidP="005532C7">
      <w:pPr>
        <w:pStyle w:val="Heading1"/>
      </w:pPr>
    </w:p>
    <w:p w:rsidR="0004029A" w:rsidRPr="003C4DC8" w:rsidRDefault="00A5021A" w:rsidP="005532C7">
      <w:pPr>
        <w:spacing w:after="0" w:line="240" w:lineRule="auto"/>
        <w:jc w:val="both"/>
        <w:rPr>
          <w:rFonts w:eastAsia="Times New Roman" w:cs="Times New Roman"/>
          <w:szCs w:val="20"/>
          <w:lang w:val="lv-LV"/>
        </w:rPr>
      </w:pPr>
      <w:r w:rsidRPr="003C4DC8">
        <w:rPr>
          <w:rFonts w:eastAsia="Times New Roman" w:cs="Times New Roman"/>
          <w:szCs w:val="20"/>
          <w:lang w:val="lv-LV"/>
        </w:rPr>
        <w:t>Finanšu instrumentu tirgus dalībnieki savā darbībā ievēro Finanšu instrumentu tirgus likumu (</w:t>
      </w:r>
      <w:r w:rsidR="008301F1" w:rsidRPr="003C4DC8">
        <w:rPr>
          <w:rFonts w:eastAsia="Times New Roman" w:cs="Times New Roman"/>
          <w:szCs w:val="20"/>
          <w:lang w:val="lv-LV"/>
        </w:rPr>
        <w:t>turpmāk</w:t>
      </w:r>
      <w:r w:rsidRPr="003C4DC8">
        <w:rPr>
          <w:rFonts w:eastAsia="Times New Roman" w:cs="Times New Roman"/>
          <w:szCs w:val="20"/>
          <w:lang w:val="lv-LV"/>
        </w:rPr>
        <w:t xml:space="preserve"> – FITL), kā arī </w:t>
      </w:r>
      <w:r w:rsidR="0004029A" w:rsidRPr="003C4DC8">
        <w:rPr>
          <w:rFonts w:eastAsia="Times New Roman" w:cs="Times New Roman"/>
          <w:szCs w:val="20"/>
          <w:lang w:val="lv-LV"/>
        </w:rPr>
        <w:t>Komisijas Deleģēt</w:t>
      </w:r>
      <w:r w:rsidR="0098238C">
        <w:rPr>
          <w:rFonts w:eastAsia="Times New Roman" w:cs="Times New Roman"/>
          <w:szCs w:val="20"/>
          <w:lang w:val="lv-LV"/>
        </w:rPr>
        <w:t>o</w:t>
      </w:r>
      <w:r w:rsidR="0004029A" w:rsidRPr="003C4DC8">
        <w:rPr>
          <w:rFonts w:eastAsia="Times New Roman" w:cs="Times New Roman"/>
          <w:szCs w:val="20"/>
          <w:lang w:val="lv-LV"/>
        </w:rPr>
        <w:t xml:space="preserve"> regul</w:t>
      </w:r>
      <w:r w:rsidR="0098238C">
        <w:rPr>
          <w:rFonts w:eastAsia="Times New Roman" w:cs="Times New Roman"/>
          <w:szCs w:val="20"/>
          <w:lang w:val="lv-LV"/>
        </w:rPr>
        <w:t>u</w:t>
      </w:r>
      <w:r w:rsidR="0004029A" w:rsidRPr="003C4DC8">
        <w:rPr>
          <w:rFonts w:eastAsia="Times New Roman" w:cs="Times New Roman"/>
          <w:szCs w:val="20"/>
          <w:lang w:val="lv-LV"/>
        </w:rPr>
        <w:t xml:space="preserve"> (ES) 2017/565, ar ko papildina Eiropas Parlamenta un Padomes Direktīvu 2014/65/ES attiecībā uz ieguldījumu brokeru sabiedrību organizatoriskām prasībām un darbības nosacījumiem un jēdzienu definīcijām minētās direktīvas mērķiem</w:t>
      </w:r>
      <w:r w:rsidR="0098238C">
        <w:rPr>
          <w:rFonts w:eastAsia="Times New Roman" w:cs="Times New Roman"/>
          <w:szCs w:val="20"/>
          <w:lang w:val="lv-LV"/>
        </w:rPr>
        <w:t>,</w:t>
      </w:r>
      <w:r w:rsidR="0004029A" w:rsidRPr="003C4DC8">
        <w:rPr>
          <w:rFonts w:eastAsia="Times New Roman" w:cs="Times New Roman"/>
          <w:szCs w:val="20"/>
          <w:lang w:val="lv-LV"/>
        </w:rPr>
        <w:t xml:space="preserve"> (</w:t>
      </w:r>
      <w:r w:rsidR="008301F1" w:rsidRPr="003C4DC8">
        <w:rPr>
          <w:rFonts w:eastAsia="Times New Roman" w:cs="Times New Roman"/>
          <w:szCs w:val="20"/>
          <w:lang w:val="lv-LV"/>
        </w:rPr>
        <w:t>turpmāk</w:t>
      </w:r>
      <w:r w:rsidR="0004029A" w:rsidRPr="003C4DC8">
        <w:rPr>
          <w:rFonts w:eastAsia="Times New Roman" w:cs="Times New Roman"/>
          <w:szCs w:val="20"/>
          <w:lang w:val="lv-LV"/>
        </w:rPr>
        <w:t xml:space="preserve"> – Regula 2017/565) un Komisijas Deleģēt</w:t>
      </w:r>
      <w:r w:rsidR="0098238C">
        <w:rPr>
          <w:rFonts w:eastAsia="Times New Roman" w:cs="Times New Roman"/>
          <w:szCs w:val="20"/>
          <w:lang w:val="lv-LV"/>
        </w:rPr>
        <w:t>o</w:t>
      </w:r>
      <w:r w:rsidR="0004029A" w:rsidRPr="003C4DC8">
        <w:rPr>
          <w:rFonts w:eastAsia="Times New Roman" w:cs="Times New Roman"/>
          <w:szCs w:val="20"/>
          <w:lang w:val="lv-LV"/>
        </w:rPr>
        <w:t xml:space="preserve"> regul</w:t>
      </w:r>
      <w:r w:rsidR="0098238C">
        <w:rPr>
          <w:rFonts w:eastAsia="Times New Roman" w:cs="Times New Roman"/>
          <w:szCs w:val="20"/>
          <w:lang w:val="lv-LV"/>
        </w:rPr>
        <w:t>u</w:t>
      </w:r>
      <w:r w:rsidR="0004029A" w:rsidRPr="003C4DC8">
        <w:rPr>
          <w:rFonts w:eastAsia="Times New Roman" w:cs="Times New Roman"/>
          <w:szCs w:val="20"/>
          <w:lang w:val="lv-LV"/>
        </w:rPr>
        <w:t xml:space="preserve"> (ES) </w:t>
      </w:r>
      <w:r w:rsidR="0004029A" w:rsidRPr="003C4DC8">
        <w:rPr>
          <w:szCs w:val="24"/>
          <w:lang w:val="lv-LV"/>
        </w:rPr>
        <w:t xml:space="preserve">2017/576, ar ko Eiropas Parlamenta un Padomes Direktīvu 2014/65/ES papildina attiecībā uz regulatīvajiem tehniskajiem standartiem, kuri attiecas uz ieguldījumu brokeru sabiedrību veikto ikgadējo informācijas publicēšanu par izpildes vietu identitāti un izpildes </w:t>
      </w:r>
      <w:r w:rsidR="0004029A" w:rsidRPr="005E4662">
        <w:rPr>
          <w:szCs w:val="24"/>
          <w:lang w:val="lv-LV"/>
        </w:rPr>
        <w:t>kvalitāti</w:t>
      </w:r>
      <w:r w:rsidR="0098238C" w:rsidRPr="005E4662">
        <w:rPr>
          <w:szCs w:val="24"/>
          <w:lang w:val="lv-LV"/>
        </w:rPr>
        <w:t>,</w:t>
      </w:r>
      <w:r w:rsidR="0004029A" w:rsidRPr="005E4662">
        <w:rPr>
          <w:szCs w:val="24"/>
          <w:lang w:val="lv-LV"/>
        </w:rPr>
        <w:t xml:space="preserve"> (turpmāk – RTS</w:t>
      </w:r>
      <w:r w:rsidR="0007383F" w:rsidRPr="005E4662">
        <w:rPr>
          <w:szCs w:val="24"/>
          <w:lang w:val="lv-LV"/>
        </w:rPr>
        <w:t> </w:t>
      </w:r>
      <w:r w:rsidR="0004029A" w:rsidRPr="005E4662">
        <w:rPr>
          <w:szCs w:val="24"/>
          <w:lang w:val="lv-LV"/>
        </w:rPr>
        <w:t>28).</w:t>
      </w:r>
    </w:p>
    <w:p w:rsidR="00522880" w:rsidRPr="003C4DC8" w:rsidRDefault="00522880" w:rsidP="005532C7">
      <w:pPr>
        <w:spacing w:after="0" w:line="240" w:lineRule="auto"/>
        <w:jc w:val="both"/>
        <w:rPr>
          <w:rFonts w:eastAsia="Times New Roman" w:cs="Times New Roman"/>
          <w:szCs w:val="20"/>
          <w:lang w:val="lv-LV"/>
        </w:rPr>
      </w:pPr>
    </w:p>
    <w:p w:rsidR="00A5021A" w:rsidRPr="003C4DC8" w:rsidRDefault="00A5021A" w:rsidP="005532C7">
      <w:pPr>
        <w:spacing w:after="0" w:line="240" w:lineRule="auto"/>
        <w:jc w:val="both"/>
        <w:rPr>
          <w:rFonts w:eastAsia="Times New Roman" w:cs="Times New Roman"/>
          <w:szCs w:val="20"/>
          <w:lang w:val="lv-LV"/>
        </w:rPr>
      </w:pPr>
      <w:r w:rsidRPr="003C4DC8">
        <w:rPr>
          <w:rFonts w:eastAsia="Times New Roman" w:cs="Times New Roman"/>
          <w:szCs w:val="20"/>
          <w:lang w:val="lv-LV"/>
        </w:rPr>
        <w:t>Finanšu un kapitāla tirgus komisija (</w:t>
      </w:r>
      <w:r w:rsidR="00522880" w:rsidRPr="003C4DC8">
        <w:rPr>
          <w:rFonts w:eastAsia="Times New Roman" w:cs="Times New Roman"/>
          <w:szCs w:val="20"/>
          <w:lang w:val="lv-LV"/>
        </w:rPr>
        <w:t>turpmāk</w:t>
      </w:r>
      <w:r w:rsidRPr="003C4DC8">
        <w:rPr>
          <w:rFonts w:eastAsia="Times New Roman" w:cs="Times New Roman"/>
          <w:szCs w:val="20"/>
          <w:lang w:val="lv-LV"/>
        </w:rPr>
        <w:t xml:space="preserve"> – FKTK) vērš uzmanību, ka tai nav tiesību sniegt oficiālu tiesību normu skaidrojumu. Tomēr, lai finanšu instrumentu tirgus dalībnieki </w:t>
      </w:r>
      <w:r w:rsidR="0098238C" w:rsidRPr="003C4DC8">
        <w:rPr>
          <w:rFonts w:eastAsia="Times New Roman" w:cs="Times New Roman"/>
          <w:szCs w:val="20"/>
          <w:lang w:val="lv-LV"/>
        </w:rPr>
        <w:t xml:space="preserve"> </w:t>
      </w:r>
      <w:r w:rsidRPr="003C4DC8">
        <w:rPr>
          <w:rFonts w:eastAsia="Times New Roman" w:cs="Times New Roman"/>
          <w:szCs w:val="20"/>
          <w:lang w:val="lv-LV"/>
        </w:rPr>
        <w:t xml:space="preserve">konsekventi piemērotu minēto tiesību aktu </w:t>
      </w:r>
      <w:r w:rsidR="0098238C">
        <w:rPr>
          <w:rFonts w:eastAsia="Times New Roman" w:cs="Times New Roman"/>
          <w:szCs w:val="20"/>
          <w:lang w:val="lv-LV"/>
        </w:rPr>
        <w:t xml:space="preserve">prasības darbībai </w:t>
      </w:r>
      <w:r w:rsidRPr="003C4DC8">
        <w:rPr>
          <w:rFonts w:eastAsia="Times New Roman" w:cs="Times New Roman"/>
          <w:szCs w:val="20"/>
          <w:lang w:val="lv-LV"/>
        </w:rPr>
        <w:t>Latvijas finanšu sektor</w:t>
      </w:r>
      <w:r w:rsidR="0098238C">
        <w:rPr>
          <w:rFonts w:eastAsia="Times New Roman" w:cs="Times New Roman"/>
          <w:szCs w:val="20"/>
          <w:lang w:val="lv-LV"/>
        </w:rPr>
        <w:t>ā</w:t>
      </w:r>
      <w:r w:rsidRPr="003C4DC8">
        <w:rPr>
          <w:rFonts w:eastAsia="Times New Roman" w:cs="Times New Roman"/>
          <w:szCs w:val="20"/>
          <w:lang w:val="lv-LV"/>
        </w:rPr>
        <w:t xml:space="preserve">, FKTK pauž savu viedokli, sniedzot atbildes uz </w:t>
      </w:r>
      <w:r w:rsidR="00A4715D" w:rsidRPr="003C4DC8">
        <w:rPr>
          <w:rFonts w:eastAsia="Times New Roman" w:cs="Times New Roman"/>
          <w:szCs w:val="20"/>
          <w:lang w:val="lv-LV"/>
        </w:rPr>
        <w:t xml:space="preserve">finanšu instrumentu </w:t>
      </w:r>
      <w:r w:rsidRPr="003C4DC8">
        <w:rPr>
          <w:rFonts w:eastAsia="Times New Roman" w:cs="Times New Roman"/>
          <w:szCs w:val="20"/>
          <w:lang w:val="lv-LV"/>
        </w:rPr>
        <w:t xml:space="preserve">tirgus dalībnieku biežāk uzdotajiem jautājumiem. Vienlaikus FKTK vērš uzmanību – ja kāds no Eiropas Vērtspapīru un tirgu iestādes </w:t>
      </w:r>
      <w:r w:rsidR="00D31D68" w:rsidRPr="003C4DC8">
        <w:rPr>
          <w:szCs w:val="24"/>
          <w:lang w:val="lv-LV"/>
        </w:rPr>
        <w:t>(turpmāk – ESMA) nākotnē</w:t>
      </w:r>
      <w:r w:rsidRPr="003C4DC8">
        <w:rPr>
          <w:rFonts w:eastAsia="Times New Roman" w:cs="Times New Roman"/>
          <w:szCs w:val="20"/>
          <w:lang w:val="lv-LV"/>
        </w:rPr>
        <w:t xml:space="preserve"> publiskotajiem paziņojumiem, kurā tiks sniegts skaidrojums par atsevišķu </w:t>
      </w:r>
      <w:r w:rsidRPr="003C4DC8">
        <w:rPr>
          <w:rFonts w:cs="Times New Roman"/>
          <w:bCs/>
          <w:szCs w:val="24"/>
          <w:shd w:val="clear" w:color="auto" w:fill="FFFFFF"/>
          <w:lang w:val="lv-LV"/>
        </w:rPr>
        <w:t>Finanšu instrumentu tirgus direktīvas</w:t>
      </w:r>
      <w:r w:rsidRPr="003C4DC8">
        <w:rPr>
          <w:rFonts w:eastAsia="Times New Roman" w:cs="Times New Roman"/>
          <w:szCs w:val="20"/>
          <w:lang w:val="lv-LV"/>
        </w:rPr>
        <w:t xml:space="preserve"> (</w:t>
      </w:r>
      <w:r w:rsidR="003F2ED3" w:rsidRPr="003C4DC8">
        <w:rPr>
          <w:rFonts w:eastAsia="Times New Roman" w:cs="Times New Roman"/>
          <w:szCs w:val="20"/>
          <w:lang w:val="lv-LV"/>
        </w:rPr>
        <w:t>turpmāk</w:t>
      </w:r>
      <w:r w:rsidRPr="003C4DC8">
        <w:rPr>
          <w:rFonts w:eastAsia="Times New Roman" w:cs="Times New Roman"/>
          <w:szCs w:val="20"/>
          <w:lang w:val="lv-LV"/>
        </w:rPr>
        <w:t> – MiFID II) regulējuma prasību piemērošanu, būs citādāks nekā FKTK tālāk paustais viedoklis, arī FKTK viedoklis tiks mainīts atbilstoši tam, kāda būs kopējā pieeja Eiropas Savienības dalībvalstīs attiecīgajā MiFID II regulējuma piemērošanas jautājumā.</w:t>
      </w:r>
    </w:p>
    <w:p w:rsidR="00A5021A" w:rsidRPr="003C4DC8" w:rsidRDefault="00A5021A" w:rsidP="005532C7">
      <w:pPr>
        <w:spacing w:after="0" w:line="240" w:lineRule="auto"/>
        <w:jc w:val="both"/>
        <w:rPr>
          <w:rFonts w:eastAsia="Times New Roman" w:cs="Times New Roman"/>
          <w:szCs w:val="20"/>
          <w:lang w:val="lv-LV"/>
        </w:rPr>
      </w:pPr>
    </w:p>
    <w:p w:rsidR="009C1561" w:rsidRPr="003C4DC8" w:rsidRDefault="0004029A" w:rsidP="005532C7">
      <w:pPr>
        <w:pStyle w:val="ListParagraph"/>
        <w:spacing w:after="200"/>
        <w:ind w:left="0"/>
        <w:rPr>
          <w:b/>
          <w:szCs w:val="24"/>
        </w:rPr>
      </w:pPr>
      <w:r w:rsidRPr="003C4DC8">
        <w:rPr>
          <w:b/>
          <w:szCs w:val="24"/>
          <w:u w:val="single"/>
        </w:rPr>
        <w:t>1.</w:t>
      </w:r>
      <w:r w:rsidR="00D11D8F" w:rsidRPr="003C4DC8">
        <w:rPr>
          <w:b/>
          <w:szCs w:val="24"/>
          <w:u w:val="single"/>
        </w:rPr>
        <w:t xml:space="preserve"> j</w:t>
      </w:r>
      <w:r w:rsidRPr="003C4DC8">
        <w:rPr>
          <w:b/>
          <w:szCs w:val="24"/>
          <w:u w:val="single"/>
        </w:rPr>
        <w:t>autājums</w:t>
      </w:r>
      <w:r w:rsidR="00CE3EDD">
        <w:rPr>
          <w:b/>
          <w:szCs w:val="24"/>
        </w:rPr>
        <w:t>.</w:t>
      </w:r>
      <w:r w:rsidR="00CE3EDD" w:rsidRPr="003C4DC8">
        <w:rPr>
          <w:b/>
          <w:szCs w:val="24"/>
        </w:rPr>
        <w:t xml:space="preserve"> </w:t>
      </w:r>
      <w:r w:rsidR="009C1561" w:rsidRPr="003C4DC8">
        <w:rPr>
          <w:b/>
          <w:szCs w:val="24"/>
        </w:rPr>
        <w:t xml:space="preserve">Vai </w:t>
      </w:r>
      <w:r w:rsidR="0098238C" w:rsidRPr="003C4DC8">
        <w:rPr>
          <w:b/>
          <w:i/>
          <w:szCs w:val="24"/>
        </w:rPr>
        <w:t>TOP</w:t>
      </w:r>
      <w:r w:rsidR="0098238C" w:rsidRPr="00D06A3C">
        <w:rPr>
          <w:b/>
          <w:i/>
          <w:szCs w:val="24"/>
        </w:rPr>
        <w:t>5</w:t>
      </w:r>
      <w:r w:rsidR="0098238C" w:rsidRPr="003C4DC8">
        <w:rPr>
          <w:b/>
          <w:szCs w:val="24"/>
        </w:rPr>
        <w:t xml:space="preserve"> </w:t>
      </w:r>
      <w:r w:rsidR="009C1561" w:rsidRPr="003C4DC8">
        <w:rPr>
          <w:b/>
          <w:szCs w:val="24"/>
        </w:rPr>
        <w:t>izpildes vietas publikācijā atbilstoši RTS 28 ir jānorāda tikai tirdzniecības vietas, t.i., vai var nenorādīt XOFF (ārpusbiržas darījumus), ja darījums netika noslēgts tirdzniecības vietā?</w:t>
      </w:r>
    </w:p>
    <w:p w:rsidR="00941F36" w:rsidRPr="003C4DC8" w:rsidRDefault="009C1561" w:rsidP="005532C7">
      <w:pPr>
        <w:spacing w:after="200" w:line="240" w:lineRule="auto"/>
        <w:jc w:val="both"/>
        <w:rPr>
          <w:szCs w:val="24"/>
          <w:lang w:val="lv-LV"/>
        </w:rPr>
      </w:pPr>
      <w:r w:rsidRPr="003C4DC8">
        <w:rPr>
          <w:b/>
          <w:szCs w:val="24"/>
          <w:u w:val="single"/>
          <w:lang w:val="lv-LV"/>
        </w:rPr>
        <w:t>Atbilde</w:t>
      </w:r>
      <w:r w:rsidR="00CE3EDD">
        <w:rPr>
          <w:b/>
          <w:szCs w:val="24"/>
          <w:lang w:val="lv-LV"/>
        </w:rPr>
        <w:t>.</w:t>
      </w:r>
      <w:r w:rsidRPr="003C4DC8">
        <w:rPr>
          <w:szCs w:val="24"/>
          <w:lang w:val="lv-LV"/>
        </w:rPr>
        <w:t xml:space="preserve"> </w:t>
      </w:r>
      <w:r w:rsidR="00941F36" w:rsidRPr="003C4DC8">
        <w:rPr>
          <w:szCs w:val="24"/>
          <w:lang w:val="lv-LV"/>
        </w:rPr>
        <w:t>FITL 128.³ panta 3</w:t>
      </w:r>
      <w:r w:rsidR="0098238C">
        <w:rPr>
          <w:szCs w:val="24"/>
          <w:lang w:val="lv-LV"/>
        </w:rPr>
        <w:t>.</w:t>
      </w:r>
      <w:r w:rsidR="00941F36" w:rsidRPr="003C4DC8">
        <w:rPr>
          <w:szCs w:val="24"/>
          <w:lang w:val="lv-LV"/>
        </w:rPr>
        <w:t>¹ daļā noteikts, ka ieguldījumu brokeru sabiedrība un kredītiestāde, kas izpilda klienta rīkojumus, katru gadu apkopo un publisko katras finanšu instrumentu kategorijas piecas izpildes vietas, kurās ir bijis vislielākais tirdzniecības apjoms un kurās tā iepriekšējā gadā ir izpildīju</w:t>
      </w:r>
      <w:r w:rsidR="009157B6">
        <w:rPr>
          <w:szCs w:val="24"/>
          <w:lang w:val="lv-LV"/>
        </w:rPr>
        <w:t>si</w:t>
      </w:r>
      <w:r w:rsidR="00941F36" w:rsidRPr="003C4DC8">
        <w:rPr>
          <w:szCs w:val="24"/>
          <w:lang w:val="lv-LV"/>
        </w:rPr>
        <w:t xml:space="preserve"> klienta rīkojumus, kā arī publisko informācijas kopsavilkumu par rīkojumu faktiskās izpildes kvalitāti. Savukārt informācijas, kura ieguldījumu brokeru sabiedrībām un kredītiestādēm </w:t>
      </w:r>
      <w:r w:rsidR="00CE3EDD">
        <w:rPr>
          <w:szCs w:val="24"/>
          <w:lang w:val="lv-LV"/>
        </w:rPr>
        <w:t>jā</w:t>
      </w:r>
      <w:r w:rsidR="00941F36" w:rsidRPr="003C4DC8">
        <w:rPr>
          <w:szCs w:val="24"/>
          <w:lang w:val="lv-LV"/>
        </w:rPr>
        <w:t>publicē saskaņā ar FITL 128.³ panta 3</w:t>
      </w:r>
      <w:r w:rsidR="00CE3EDD">
        <w:rPr>
          <w:szCs w:val="24"/>
          <w:lang w:val="lv-LV"/>
        </w:rPr>
        <w:t>.</w:t>
      </w:r>
      <w:r w:rsidR="00941F36" w:rsidRPr="003C4DC8">
        <w:rPr>
          <w:szCs w:val="24"/>
          <w:lang w:val="lv-LV"/>
        </w:rPr>
        <w:t xml:space="preserve">¹ daļu, </w:t>
      </w:r>
      <w:r w:rsidR="0098238C" w:rsidRPr="003C4DC8">
        <w:rPr>
          <w:szCs w:val="24"/>
          <w:lang w:val="lv-LV"/>
        </w:rPr>
        <w:t xml:space="preserve">saturu un formātu </w:t>
      </w:r>
      <w:r w:rsidR="00941F36" w:rsidRPr="003C4DC8">
        <w:rPr>
          <w:szCs w:val="24"/>
          <w:lang w:val="lv-LV"/>
        </w:rPr>
        <w:t xml:space="preserve">detalizētāk nosaka RTS 28. </w:t>
      </w:r>
    </w:p>
    <w:p w:rsidR="00D11D8F" w:rsidRPr="003C4DC8" w:rsidRDefault="00941F36" w:rsidP="005532C7">
      <w:pPr>
        <w:spacing w:after="200" w:line="240" w:lineRule="auto"/>
        <w:jc w:val="both"/>
        <w:rPr>
          <w:szCs w:val="24"/>
          <w:lang w:val="lv-LV"/>
        </w:rPr>
      </w:pPr>
      <w:r w:rsidRPr="003C4DC8">
        <w:rPr>
          <w:szCs w:val="24"/>
          <w:lang w:val="lv-LV"/>
        </w:rPr>
        <w:t>RTS 28</w:t>
      </w:r>
      <w:r w:rsidR="00982931">
        <w:rPr>
          <w:szCs w:val="24"/>
          <w:lang w:val="lv-LV"/>
        </w:rPr>
        <w:t xml:space="preserve"> 1. pants nosaka, ka</w:t>
      </w:r>
      <w:r w:rsidRPr="003C4DC8">
        <w:rPr>
          <w:szCs w:val="24"/>
          <w:lang w:val="lv-LV"/>
        </w:rPr>
        <w:t xml:space="preserve"> ar </w:t>
      </w:r>
      <w:r w:rsidRPr="003C4DC8">
        <w:rPr>
          <w:szCs w:val="24"/>
          <w:u w:val="single"/>
          <w:lang w:val="lv-LV"/>
        </w:rPr>
        <w:t>izpildes vietu</w:t>
      </w:r>
      <w:r w:rsidRPr="003C4DC8">
        <w:rPr>
          <w:szCs w:val="24"/>
          <w:lang w:val="lv-LV"/>
        </w:rPr>
        <w:t xml:space="preserve"> tiek saprasts regulēts tirgus, daudzpusēja tirdzniecības sistēma, organizēta</w:t>
      </w:r>
      <w:r w:rsidRPr="003C4DC8">
        <w:rPr>
          <w:rFonts w:cs="Times New Roman"/>
          <w:szCs w:val="24"/>
          <w:lang w:val="lv-LV"/>
        </w:rPr>
        <w:t xml:space="preserve"> </w:t>
      </w:r>
      <w:r w:rsidRPr="003C4DC8">
        <w:rPr>
          <w:szCs w:val="24"/>
          <w:lang w:val="lv-LV"/>
        </w:rPr>
        <w:t xml:space="preserve">tirdzniecības sistēma, sistemātisks internalizētājs, tirgus uzturētājs vai cits likviditātes nodrošinātājs, vai iestāde, kas trešajā valstī veic funkcijas, kas ir pielīdzināmas minētajām. Cita likviditātes nodrošinātāja vērtēšanas kritēriji ir minēti </w:t>
      </w:r>
      <w:r w:rsidR="00860A30" w:rsidRPr="00860A30">
        <w:rPr>
          <w:szCs w:val="24"/>
          <w:lang w:val="lv-LV"/>
        </w:rPr>
        <w:t>Komisijas Deleģētā</w:t>
      </w:r>
      <w:r w:rsidR="00860A30">
        <w:rPr>
          <w:szCs w:val="24"/>
          <w:lang w:val="lv-LV"/>
        </w:rPr>
        <w:t>s</w:t>
      </w:r>
      <w:r w:rsidR="00860A30" w:rsidRPr="00860A30">
        <w:rPr>
          <w:szCs w:val="24"/>
          <w:lang w:val="lv-LV"/>
        </w:rPr>
        <w:t xml:space="preserve"> regula</w:t>
      </w:r>
      <w:r w:rsidR="00860A30">
        <w:rPr>
          <w:szCs w:val="24"/>
          <w:lang w:val="lv-LV"/>
        </w:rPr>
        <w:t>s</w:t>
      </w:r>
      <w:r w:rsidR="00860A30" w:rsidRPr="00860A30">
        <w:rPr>
          <w:szCs w:val="24"/>
          <w:lang w:val="lv-LV"/>
        </w:rPr>
        <w:t xml:space="preserve"> (ES) 2017/57</w:t>
      </w:r>
      <w:r w:rsidR="00860A30">
        <w:rPr>
          <w:szCs w:val="24"/>
          <w:lang w:val="lv-LV"/>
        </w:rPr>
        <w:t>5</w:t>
      </w:r>
      <w:r w:rsidR="00860A30" w:rsidRPr="00860A30">
        <w:rPr>
          <w:szCs w:val="24"/>
          <w:lang w:val="lv-LV"/>
        </w:rPr>
        <w:t>, ar ko papildina Eiropas Parlamenta un Padomes Direktīvu 2014/65/ES par finanšu instrumentu tirgiem attiecībā uz regulatīvajiem tehniskajiem standartiem saistībā ar darījumu izpildes kvalitātes datiem, kas jāpublicē izpildes vietām</w:t>
      </w:r>
      <w:r w:rsidR="00CE3EDD">
        <w:rPr>
          <w:szCs w:val="24"/>
          <w:lang w:val="lv-LV"/>
        </w:rPr>
        <w:t>,</w:t>
      </w:r>
      <w:r w:rsidR="00860A30">
        <w:rPr>
          <w:szCs w:val="24"/>
          <w:lang w:val="lv-LV"/>
        </w:rPr>
        <w:t xml:space="preserve"> </w:t>
      </w:r>
      <w:r w:rsidRPr="003C4DC8">
        <w:rPr>
          <w:szCs w:val="24"/>
          <w:lang w:val="lv-LV"/>
        </w:rPr>
        <w:t xml:space="preserve">preambulas 7. punktā: pie citiem likviditātes nodrošinātājiem būtu jāpieder sabiedrībām, kuras izrāda vēlmi veikt darījumus savā vārdā </w:t>
      </w:r>
      <w:r w:rsidRPr="003C4DC8">
        <w:rPr>
          <w:szCs w:val="24"/>
          <w:lang w:val="lv-LV"/>
        </w:rPr>
        <w:lastRenderedPageBreak/>
        <w:t xml:space="preserve">un kurām likviditātes nodrošināšana ir daļa no to parastās saimnieciskās darbības, neatkarīgi no tā, vai tām ir oficiāli nolīgumi un vai tās apņemas pastāvīgi nodrošināt likviditāti. </w:t>
      </w:r>
    </w:p>
    <w:p w:rsidR="000767D3" w:rsidRDefault="00941F36" w:rsidP="005532C7">
      <w:pPr>
        <w:spacing w:after="200" w:line="240" w:lineRule="auto"/>
        <w:jc w:val="both"/>
        <w:rPr>
          <w:szCs w:val="24"/>
          <w:lang w:val="lv-LV"/>
        </w:rPr>
      </w:pPr>
      <w:r w:rsidRPr="003C4DC8">
        <w:rPr>
          <w:szCs w:val="24"/>
          <w:lang w:val="lv-LV"/>
        </w:rPr>
        <w:t xml:space="preserve">Tādējādi </w:t>
      </w:r>
      <w:r w:rsidR="00CE3EDD" w:rsidRPr="003C4DC8">
        <w:rPr>
          <w:i/>
          <w:szCs w:val="24"/>
          <w:lang w:val="lv-LV"/>
        </w:rPr>
        <w:t>TOP5</w:t>
      </w:r>
      <w:r w:rsidR="00A2540D" w:rsidRPr="003C4DC8">
        <w:rPr>
          <w:szCs w:val="24"/>
          <w:lang w:val="lv-LV"/>
        </w:rPr>
        <w:t xml:space="preserve"> izpildes vietu </w:t>
      </w:r>
      <w:r w:rsidRPr="003C4DC8">
        <w:rPr>
          <w:szCs w:val="24"/>
          <w:lang w:val="lv-LV"/>
        </w:rPr>
        <w:t xml:space="preserve">publikācijā </w:t>
      </w:r>
      <w:r w:rsidR="009C1561" w:rsidRPr="003C4DC8">
        <w:rPr>
          <w:szCs w:val="24"/>
          <w:lang w:val="lv-LV"/>
        </w:rPr>
        <w:t xml:space="preserve">jānorāda </w:t>
      </w:r>
      <w:r w:rsidR="000767D3">
        <w:rPr>
          <w:szCs w:val="24"/>
          <w:lang w:val="lv-LV"/>
        </w:rPr>
        <w:t xml:space="preserve">piecas populārākās </w:t>
      </w:r>
      <w:r w:rsidR="00CE3EDD">
        <w:rPr>
          <w:szCs w:val="24"/>
          <w:lang w:val="lv-LV"/>
        </w:rPr>
        <w:t xml:space="preserve">klientu rīkojumu </w:t>
      </w:r>
      <w:r w:rsidR="000767D3">
        <w:rPr>
          <w:szCs w:val="24"/>
          <w:lang w:val="lv-LV"/>
        </w:rPr>
        <w:t>izpildes vietas, t</w:t>
      </w:r>
      <w:r w:rsidR="00CE3EDD">
        <w:rPr>
          <w:szCs w:val="24"/>
          <w:lang w:val="lv-LV"/>
        </w:rPr>
        <w:t>.sk.</w:t>
      </w:r>
      <w:r w:rsidR="000767D3">
        <w:rPr>
          <w:szCs w:val="24"/>
          <w:lang w:val="lv-LV"/>
        </w:rPr>
        <w:t xml:space="preserve"> </w:t>
      </w:r>
      <w:r w:rsidR="009C1561" w:rsidRPr="003C4DC8">
        <w:rPr>
          <w:szCs w:val="24"/>
          <w:lang w:val="lv-LV"/>
        </w:rPr>
        <w:t>tirdzniecības vietas</w:t>
      </w:r>
      <w:r w:rsidR="000767D3">
        <w:rPr>
          <w:szCs w:val="24"/>
          <w:lang w:val="lv-LV"/>
        </w:rPr>
        <w:t xml:space="preserve"> (regulēts tirgus, </w:t>
      </w:r>
      <w:r w:rsidR="000767D3" w:rsidRPr="003C4DC8">
        <w:rPr>
          <w:szCs w:val="24"/>
          <w:lang w:val="lv-LV"/>
        </w:rPr>
        <w:t>daudzpusēja tirdzniecības sistēma, organizēta</w:t>
      </w:r>
      <w:r w:rsidR="000767D3" w:rsidRPr="003C4DC8">
        <w:rPr>
          <w:rFonts w:cs="Times New Roman"/>
          <w:szCs w:val="24"/>
          <w:lang w:val="lv-LV"/>
        </w:rPr>
        <w:t xml:space="preserve"> </w:t>
      </w:r>
      <w:r w:rsidR="000767D3" w:rsidRPr="003C4DC8">
        <w:rPr>
          <w:szCs w:val="24"/>
          <w:lang w:val="lv-LV"/>
        </w:rPr>
        <w:t>tirdzniecības sistēma</w:t>
      </w:r>
      <w:r w:rsidR="000767D3">
        <w:rPr>
          <w:szCs w:val="24"/>
          <w:lang w:val="lv-LV"/>
        </w:rPr>
        <w:t>)</w:t>
      </w:r>
      <w:r w:rsidR="009C1561" w:rsidRPr="003C4DC8">
        <w:rPr>
          <w:szCs w:val="24"/>
          <w:lang w:val="lv-LV"/>
        </w:rPr>
        <w:t xml:space="preserve">, sistemātiskie internalizētāji, tirgus uzturētāji vai </w:t>
      </w:r>
      <w:r w:rsidR="00A2540D" w:rsidRPr="003C4DC8">
        <w:rPr>
          <w:szCs w:val="24"/>
          <w:lang w:val="lv-LV"/>
        </w:rPr>
        <w:t>citi likviditātes nodrošinātāji</w:t>
      </w:r>
      <w:r w:rsidR="009C1561" w:rsidRPr="003C4DC8">
        <w:rPr>
          <w:szCs w:val="24"/>
          <w:lang w:val="lv-LV"/>
        </w:rPr>
        <w:t xml:space="preserve">. </w:t>
      </w:r>
    </w:p>
    <w:p w:rsidR="009C1561" w:rsidRPr="003C4DC8" w:rsidRDefault="000767D3" w:rsidP="005532C7">
      <w:pPr>
        <w:spacing w:after="200" w:line="240" w:lineRule="auto"/>
        <w:jc w:val="both"/>
        <w:rPr>
          <w:szCs w:val="24"/>
          <w:lang w:val="lv-LV"/>
        </w:rPr>
      </w:pPr>
      <w:r>
        <w:rPr>
          <w:szCs w:val="24"/>
          <w:lang w:val="lv-LV"/>
        </w:rPr>
        <w:t>Ārpusbiržas</w:t>
      </w:r>
      <w:r w:rsidR="009C1561" w:rsidRPr="003C4DC8">
        <w:rPr>
          <w:szCs w:val="24"/>
          <w:lang w:val="lv-LV"/>
        </w:rPr>
        <w:t xml:space="preserve"> darījumi, kas izpildīti savstarpējos darījumos ar kontrahentiem, kuriem nav </w:t>
      </w:r>
      <w:r>
        <w:rPr>
          <w:szCs w:val="24"/>
          <w:lang w:val="lv-LV"/>
        </w:rPr>
        <w:t xml:space="preserve">iepriekš minēto </w:t>
      </w:r>
      <w:r w:rsidR="009C1561" w:rsidRPr="003C4DC8">
        <w:rPr>
          <w:szCs w:val="24"/>
          <w:lang w:val="lv-LV"/>
        </w:rPr>
        <w:t>izpildes viet</w:t>
      </w:r>
      <w:r w:rsidR="00CE3EDD">
        <w:rPr>
          <w:szCs w:val="24"/>
          <w:lang w:val="lv-LV"/>
        </w:rPr>
        <w:t>u</w:t>
      </w:r>
      <w:r w:rsidR="009C1561" w:rsidRPr="003C4DC8">
        <w:rPr>
          <w:szCs w:val="24"/>
          <w:lang w:val="lv-LV"/>
        </w:rPr>
        <w:t xml:space="preserve"> statusa, šajā </w:t>
      </w:r>
      <w:r w:rsidR="00CE3EDD" w:rsidRPr="000767D3">
        <w:rPr>
          <w:i/>
          <w:szCs w:val="24"/>
          <w:lang w:val="lv-LV"/>
        </w:rPr>
        <w:t>TOP5</w:t>
      </w:r>
      <w:r w:rsidR="00CE3EDD">
        <w:rPr>
          <w:szCs w:val="24"/>
          <w:lang w:val="lv-LV"/>
        </w:rPr>
        <w:t xml:space="preserve"> </w:t>
      </w:r>
      <w:r w:rsidR="009C1561" w:rsidRPr="003C4DC8">
        <w:rPr>
          <w:szCs w:val="24"/>
          <w:lang w:val="lv-LV"/>
        </w:rPr>
        <w:t xml:space="preserve">sarakstā nav jānorāda, </w:t>
      </w:r>
      <w:r>
        <w:rPr>
          <w:szCs w:val="24"/>
          <w:lang w:val="lv-LV"/>
        </w:rPr>
        <w:t>turklāt</w:t>
      </w:r>
      <w:r w:rsidR="009C1561" w:rsidRPr="003C4DC8">
        <w:rPr>
          <w:szCs w:val="24"/>
          <w:lang w:val="lv-LV"/>
        </w:rPr>
        <w:t xml:space="preserve"> </w:t>
      </w:r>
      <w:r>
        <w:rPr>
          <w:szCs w:val="24"/>
          <w:lang w:val="lv-LV"/>
        </w:rPr>
        <w:t>šādi veikto</w:t>
      </w:r>
      <w:r w:rsidR="009C1561" w:rsidRPr="003C4DC8">
        <w:rPr>
          <w:szCs w:val="24"/>
          <w:lang w:val="lv-LV"/>
        </w:rPr>
        <w:t xml:space="preserve"> darījumu skaits un apmērs nav jāņem vērā, nosakot </w:t>
      </w:r>
      <w:r w:rsidR="00CE3EDD" w:rsidRPr="003C4DC8">
        <w:rPr>
          <w:i/>
          <w:szCs w:val="24"/>
          <w:lang w:val="lv-LV"/>
        </w:rPr>
        <w:t>TOP</w:t>
      </w:r>
      <w:r w:rsidR="00CE3EDD" w:rsidRPr="00D06A3C">
        <w:rPr>
          <w:i/>
          <w:szCs w:val="24"/>
          <w:lang w:val="lv-LV"/>
        </w:rPr>
        <w:t>5</w:t>
      </w:r>
      <w:r w:rsidR="00CE3EDD" w:rsidRPr="003C4DC8">
        <w:rPr>
          <w:szCs w:val="24"/>
          <w:lang w:val="lv-LV"/>
        </w:rPr>
        <w:t xml:space="preserve"> </w:t>
      </w:r>
      <w:r w:rsidR="009C1561" w:rsidRPr="003C4DC8">
        <w:rPr>
          <w:szCs w:val="24"/>
          <w:lang w:val="lv-LV"/>
        </w:rPr>
        <w:t>procentuālo apmēru.</w:t>
      </w:r>
    </w:p>
    <w:p w:rsidR="009C1561" w:rsidRPr="003C4DC8" w:rsidRDefault="004525A5" w:rsidP="005532C7">
      <w:pPr>
        <w:spacing w:after="200" w:line="240" w:lineRule="auto"/>
        <w:jc w:val="both"/>
        <w:rPr>
          <w:b/>
          <w:szCs w:val="24"/>
          <w:lang w:val="lv-LV"/>
        </w:rPr>
      </w:pPr>
      <w:r w:rsidRPr="00D06A3C">
        <w:rPr>
          <w:b/>
          <w:szCs w:val="24"/>
          <w:u w:val="single"/>
          <w:lang w:val="lv-LV"/>
        </w:rPr>
        <w:t>2. jautājums</w:t>
      </w:r>
      <w:r w:rsidR="00CE3EDD" w:rsidRPr="00D06A3C">
        <w:rPr>
          <w:b/>
          <w:szCs w:val="24"/>
          <w:u w:val="single"/>
          <w:lang w:val="lv-LV"/>
        </w:rPr>
        <w:t>.</w:t>
      </w:r>
      <w:r w:rsidRPr="003C4DC8">
        <w:rPr>
          <w:b/>
          <w:szCs w:val="24"/>
          <w:lang w:val="lv-LV"/>
        </w:rPr>
        <w:t xml:space="preserve"> </w:t>
      </w:r>
      <w:r w:rsidR="009C1561" w:rsidRPr="003C4DC8">
        <w:rPr>
          <w:b/>
          <w:szCs w:val="24"/>
          <w:lang w:val="lv-LV"/>
        </w:rPr>
        <w:t xml:space="preserve">Banka izmanto </w:t>
      </w:r>
      <w:r w:rsidR="009C1561" w:rsidRPr="003C4DC8">
        <w:rPr>
          <w:b/>
          <w:i/>
          <w:szCs w:val="24"/>
          <w:lang w:val="lv-LV"/>
        </w:rPr>
        <w:t>Bloomberg</w:t>
      </w:r>
      <w:r w:rsidR="009C1561" w:rsidRPr="003C4DC8">
        <w:rPr>
          <w:b/>
          <w:szCs w:val="24"/>
          <w:lang w:val="lv-LV"/>
        </w:rPr>
        <w:t xml:space="preserve"> </w:t>
      </w:r>
      <w:r w:rsidR="009C1561" w:rsidRPr="003C4DC8">
        <w:rPr>
          <w:b/>
          <w:i/>
          <w:szCs w:val="24"/>
          <w:lang w:val="lv-LV"/>
        </w:rPr>
        <w:t>MTF</w:t>
      </w:r>
      <w:r w:rsidR="009C1561" w:rsidRPr="003C4DC8">
        <w:rPr>
          <w:b/>
          <w:szCs w:val="24"/>
          <w:lang w:val="lv-LV"/>
        </w:rPr>
        <w:t xml:space="preserve"> sistēmu (turpmāk – BMTF) darījumu slēgšanai ar konkrēto kontrahentu. BMTF darījumos ietilpst darījumi ar </w:t>
      </w:r>
      <w:r w:rsidR="00982931">
        <w:rPr>
          <w:b/>
          <w:i/>
          <w:szCs w:val="24"/>
          <w:lang w:val="lv-LV"/>
        </w:rPr>
        <w:t>Kontrahent</w:t>
      </w:r>
      <w:r w:rsidR="00CE3EDD">
        <w:rPr>
          <w:b/>
          <w:i/>
          <w:szCs w:val="24"/>
          <w:lang w:val="lv-LV"/>
        </w:rPr>
        <w:t>u</w:t>
      </w:r>
      <w:r w:rsidR="00982931">
        <w:rPr>
          <w:b/>
          <w:i/>
          <w:szCs w:val="24"/>
          <w:lang w:val="lv-LV"/>
        </w:rPr>
        <w:t xml:space="preserve"> A</w:t>
      </w:r>
      <w:r w:rsidR="009C1561" w:rsidRPr="003C4DC8">
        <w:rPr>
          <w:b/>
          <w:szCs w:val="24"/>
          <w:lang w:val="lv-LV"/>
        </w:rPr>
        <w:t xml:space="preserve"> un </w:t>
      </w:r>
      <w:r w:rsidR="00982931">
        <w:rPr>
          <w:b/>
          <w:i/>
          <w:szCs w:val="24"/>
          <w:lang w:val="lv-LV"/>
        </w:rPr>
        <w:t>Kontrahent</w:t>
      </w:r>
      <w:r w:rsidR="00CE3EDD">
        <w:rPr>
          <w:b/>
          <w:i/>
          <w:szCs w:val="24"/>
          <w:lang w:val="lv-LV"/>
        </w:rPr>
        <w:t>u</w:t>
      </w:r>
      <w:r w:rsidR="00982931">
        <w:rPr>
          <w:b/>
          <w:i/>
          <w:szCs w:val="24"/>
          <w:lang w:val="lv-LV"/>
        </w:rPr>
        <w:t xml:space="preserve"> B</w:t>
      </w:r>
      <w:r w:rsidR="009C1561" w:rsidRPr="003C4DC8">
        <w:rPr>
          <w:b/>
          <w:szCs w:val="24"/>
          <w:lang w:val="lv-LV"/>
        </w:rPr>
        <w:t xml:space="preserve">, jo parasti lielās bankas piedāvā darījumu slēgšanu elektroniski, izmantojot BMTF funkcionalitāti ALLQ. Vai publikācijā par </w:t>
      </w:r>
      <w:r w:rsidR="00CE3EDD" w:rsidRPr="003C4DC8">
        <w:rPr>
          <w:b/>
          <w:i/>
          <w:szCs w:val="24"/>
          <w:lang w:val="lv-LV"/>
        </w:rPr>
        <w:t>TOP</w:t>
      </w:r>
      <w:r w:rsidR="00CE3EDD" w:rsidRPr="00CE3EDD">
        <w:rPr>
          <w:b/>
          <w:i/>
          <w:szCs w:val="24"/>
          <w:lang w:val="lv-LV"/>
        </w:rPr>
        <w:t xml:space="preserve">5 </w:t>
      </w:r>
      <w:r w:rsidR="009C1561" w:rsidRPr="003C4DC8">
        <w:rPr>
          <w:b/>
          <w:szCs w:val="24"/>
          <w:lang w:val="lv-LV"/>
        </w:rPr>
        <w:t>izpildes vietām ir jānorāda minētie kontrahenti, ja darījumi ar tiem tika noslēgti BMTF, izmantojot BMFT sistēmu?</w:t>
      </w:r>
    </w:p>
    <w:p w:rsidR="00402C1A" w:rsidRDefault="009C1561" w:rsidP="005532C7">
      <w:pPr>
        <w:spacing w:after="200" w:line="240" w:lineRule="auto"/>
        <w:jc w:val="both"/>
        <w:rPr>
          <w:szCs w:val="24"/>
          <w:lang w:val="lv-LV"/>
        </w:rPr>
      </w:pPr>
      <w:r w:rsidRPr="003C4DC8">
        <w:rPr>
          <w:b/>
          <w:szCs w:val="24"/>
          <w:u w:val="single"/>
          <w:lang w:val="lv-LV"/>
        </w:rPr>
        <w:t>Atbilde</w:t>
      </w:r>
      <w:r w:rsidR="00CE3EDD">
        <w:rPr>
          <w:szCs w:val="24"/>
          <w:lang w:val="lv-LV"/>
        </w:rPr>
        <w:t>.</w:t>
      </w:r>
      <w:r w:rsidRPr="003C4DC8">
        <w:rPr>
          <w:szCs w:val="24"/>
          <w:lang w:val="lv-LV"/>
        </w:rPr>
        <w:t xml:space="preserve"> </w:t>
      </w:r>
      <w:r w:rsidR="00A00605" w:rsidRPr="003C4DC8">
        <w:rPr>
          <w:szCs w:val="24"/>
          <w:lang w:val="lv-LV"/>
        </w:rPr>
        <w:t>T</w:t>
      </w:r>
      <w:r w:rsidRPr="003C4DC8">
        <w:rPr>
          <w:szCs w:val="24"/>
          <w:lang w:val="lv-LV"/>
        </w:rPr>
        <w:t>iek uzskatīts, ka darījums noslēgts tirdzniecības vietā gan tad, kad darījums noslēgts pašā tirdzniecības vietā (</w:t>
      </w:r>
      <w:r w:rsidR="00402C1A">
        <w:rPr>
          <w:szCs w:val="24"/>
          <w:lang w:val="lv-LV"/>
        </w:rPr>
        <w:t>piemēram,</w:t>
      </w:r>
      <w:r w:rsidRPr="003C4DC8">
        <w:rPr>
          <w:szCs w:val="24"/>
          <w:lang w:val="lv-LV"/>
        </w:rPr>
        <w:t xml:space="preserve"> daudzpusējās tirdzniecības sistēmā BMFT), gan arī tad, kad puses vienojas slēgt darījumu ārpus tirdzniecības vietas, bet saskaņā ar konkrētās tirdzniecības vietas noteikumiem. Šajā gadījumā jāpiemēro līdzīga pieeja kā ziņošanā par darījumiem, t.i., šie darījumi </w:t>
      </w:r>
      <w:r w:rsidR="00402C1A">
        <w:rPr>
          <w:szCs w:val="24"/>
          <w:lang w:val="lv-LV"/>
        </w:rPr>
        <w:t xml:space="preserve">tiek atspoguļoti kā </w:t>
      </w:r>
      <w:r w:rsidRPr="003C4DC8">
        <w:rPr>
          <w:szCs w:val="24"/>
          <w:lang w:val="lv-LV"/>
        </w:rPr>
        <w:t xml:space="preserve">veikti tirdzniecības vietā </w:t>
      </w:r>
      <w:r w:rsidR="00402C1A">
        <w:rPr>
          <w:szCs w:val="24"/>
          <w:lang w:val="lv-LV"/>
        </w:rPr>
        <w:t xml:space="preserve">(piemēram, </w:t>
      </w:r>
      <w:r w:rsidR="00402C1A" w:rsidRPr="003C4DC8">
        <w:rPr>
          <w:szCs w:val="24"/>
          <w:lang w:val="lv-LV"/>
        </w:rPr>
        <w:t>daudzpusējās tirdzniecības sistēmā BMFT</w:t>
      </w:r>
      <w:r w:rsidR="00402C1A">
        <w:rPr>
          <w:szCs w:val="24"/>
          <w:lang w:val="lv-LV"/>
        </w:rPr>
        <w:t>)</w:t>
      </w:r>
      <w:r w:rsidRPr="003C4DC8">
        <w:rPr>
          <w:szCs w:val="24"/>
          <w:lang w:val="lv-LV"/>
        </w:rPr>
        <w:t xml:space="preserve">. Detalizētāka informācija </w:t>
      </w:r>
      <w:r w:rsidR="00F043D2">
        <w:rPr>
          <w:szCs w:val="24"/>
          <w:lang w:val="lv-LV"/>
        </w:rPr>
        <w:t xml:space="preserve">par ziņošanu par </w:t>
      </w:r>
      <w:r w:rsidR="00801ACA" w:rsidRPr="003C4DC8">
        <w:rPr>
          <w:szCs w:val="24"/>
          <w:lang w:val="lv-LV"/>
        </w:rPr>
        <w:t>šād</w:t>
      </w:r>
      <w:r w:rsidR="00F043D2">
        <w:rPr>
          <w:szCs w:val="24"/>
          <w:lang w:val="lv-LV"/>
        </w:rPr>
        <w:t>iem</w:t>
      </w:r>
      <w:r w:rsidR="00801ACA" w:rsidRPr="003C4DC8">
        <w:rPr>
          <w:szCs w:val="24"/>
          <w:lang w:val="lv-LV"/>
        </w:rPr>
        <w:t xml:space="preserve"> darījum</w:t>
      </w:r>
      <w:r w:rsidR="00F043D2">
        <w:rPr>
          <w:szCs w:val="24"/>
          <w:lang w:val="lv-LV"/>
        </w:rPr>
        <w:t>iem</w:t>
      </w:r>
      <w:r w:rsidR="00801ACA" w:rsidRPr="003C4DC8">
        <w:rPr>
          <w:szCs w:val="24"/>
          <w:lang w:val="lv-LV"/>
        </w:rPr>
        <w:t xml:space="preserve"> </w:t>
      </w:r>
      <w:r w:rsidRPr="003C4DC8">
        <w:rPr>
          <w:szCs w:val="24"/>
          <w:lang w:val="lv-LV"/>
        </w:rPr>
        <w:t xml:space="preserve">pieejama </w:t>
      </w:r>
      <w:r w:rsidR="00A00605" w:rsidRPr="003C4DC8">
        <w:rPr>
          <w:rFonts w:cs="Times New Roman"/>
          <w:szCs w:val="24"/>
          <w:lang w:val="lv-LV"/>
        </w:rPr>
        <w:t>ESMA vadlīniju ESMA/2016/1452 "Ziņošana par darījumiem, rīkojumu uzskaite un pulksteņu sinhronizācija saskaņā ar FITD</w:t>
      </w:r>
      <w:r w:rsidR="009157B6">
        <w:rPr>
          <w:rFonts w:cs="Times New Roman"/>
          <w:szCs w:val="24"/>
          <w:lang w:val="lv-LV"/>
        </w:rPr>
        <w:t> </w:t>
      </w:r>
      <w:r w:rsidR="00A00605" w:rsidRPr="003C4DC8">
        <w:rPr>
          <w:rFonts w:cs="Times New Roman"/>
          <w:szCs w:val="24"/>
          <w:lang w:val="lv-LV"/>
        </w:rPr>
        <w:t xml:space="preserve">II" </w:t>
      </w:r>
      <w:r w:rsidRPr="003C4DC8">
        <w:rPr>
          <w:rFonts w:cs="Times New Roman"/>
          <w:szCs w:val="24"/>
          <w:lang w:val="lv-LV"/>
        </w:rPr>
        <w:t>5.4. </w:t>
      </w:r>
      <w:r w:rsidRPr="003C4DC8">
        <w:rPr>
          <w:szCs w:val="24"/>
          <w:lang w:val="lv-LV"/>
        </w:rPr>
        <w:t>sadaļā.</w:t>
      </w:r>
      <w:r w:rsidR="00801ACA" w:rsidRPr="003C4DC8">
        <w:rPr>
          <w:szCs w:val="24"/>
          <w:lang w:val="lv-LV"/>
        </w:rPr>
        <w:t xml:space="preserve"> </w:t>
      </w:r>
    </w:p>
    <w:p w:rsidR="00A2540D" w:rsidRPr="003C4DC8" w:rsidRDefault="00F043D2" w:rsidP="005532C7">
      <w:pPr>
        <w:spacing w:after="200" w:line="240" w:lineRule="auto"/>
        <w:jc w:val="both"/>
        <w:rPr>
          <w:szCs w:val="24"/>
          <w:lang w:val="lv-LV"/>
        </w:rPr>
      </w:pPr>
      <w:r>
        <w:rPr>
          <w:szCs w:val="24"/>
          <w:lang w:val="lv-LV"/>
        </w:rPr>
        <w:t>Līdz ar to</w:t>
      </w:r>
      <w:r w:rsidRPr="003C4DC8">
        <w:rPr>
          <w:szCs w:val="24"/>
          <w:lang w:val="lv-LV"/>
        </w:rPr>
        <w:t xml:space="preserve"> </w:t>
      </w:r>
      <w:r w:rsidR="009C1561" w:rsidRPr="003C4DC8">
        <w:rPr>
          <w:szCs w:val="24"/>
          <w:lang w:val="lv-LV"/>
        </w:rPr>
        <w:t xml:space="preserve">šādi darījumi būtu jāatspoguļo pie darījumiem, kas veikti </w:t>
      </w:r>
      <w:r w:rsidRPr="003C4DC8">
        <w:rPr>
          <w:i/>
          <w:szCs w:val="24"/>
          <w:lang w:val="lv-LV"/>
        </w:rPr>
        <w:t>TOP</w:t>
      </w:r>
      <w:r w:rsidRPr="00F043D2">
        <w:rPr>
          <w:i/>
          <w:szCs w:val="24"/>
          <w:lang w:val="lv-LV"/>
        </w:rPr>
        <w:t>5</w:t>
      </w:r>
      <w:r w:rsidRPr="003C4DC8">
        <w:rPr>
          <w:szCs w:val="24"/>
          <w:lang w:val="lv-LV"/>
        </w:rPr>
        <w:t xml:space="preserve"> </w:t>
      </w:r>
      <w:r w:rsidR="009C1561" w:rsidRPr="003C4DC8">
        <w:rPr>
          <w:szCs w:val="24"/>
          <w:lang w:val="lv-LV"/>
        </w:rPr>
        <w:t xml:space="preserve">izpildes vietās. </w:t>
      </w:r>
    </w:p>
    <w:p w:rsidR="009C1561" w:rsidRPr="003C4DC8" w:rsidRDefault="00F043D2" w:rsidP="005532C7">
      <w:pPr>
        <w:spacing w:line="240" w:lineRule="auto"/>
        <w:jc w:val="both"/>
        <w:rPr>
          <w:szCs w:val="24"/>
          <w:lang w:val="lv-LV"/>
        </w:rPr>
      </w:pPr>
      <w:r>
        <w:rPr>
          <w:szCs w:val="24"/>
          <w:lang w:val="lv-LV"/>
        </w:rPr>
        <w:t>J</w:t>
      </w:r>
      <w:r w:rsidR="009C1561" w:rsidRPr="003C4DC8">
        <w:rPr>
          <w:szCs w:val="24"/>
          <w:lang w:val="lv-LV"/>
        </w:rPr>
        <w:t xml:space="preserve">a </w:t>
      </w:r>
      <w:proofErr w:type="spellStart"/>
      <w:r w:rsidR="009C1561" w:rsidRPr="003C4DC8">
        <w:rPr>
          <w:i/>
          <w:szCs w:val="24"/>
          <w:lang w:val="lv-LV"/>
        </w:rPr>
        <w:t>Bloomberg</w:t>
      </w:r>
      <w:proofErr w:type="spellEnd"/>
      <w:r w:rsidR="009C1561" w:rsidRPr="003C4DC8">
        <w:rPr>
          <w:szCs w:val="24"/>
          <w:lang w:val="lv-LV"/>
        </w:rPr>
        <w:t xml:space="preserve"> sistēma tiek izmantota tikai kā komunikācijas rīks darījuma noslēgšanai starp Banku (klienta vārdā) un </w:t>
      </w:r>
      <w:r w:rsidR="00982931">
        <w:rPr>
          <w:i/>
          <w:szCs w:val="24"/>
          <w:lang w:val="lv-LV"/>
        </w:rPr>
        <w:t>Kontrahentu A</w:t>
      </w:r>
      <w:r w:rsidR="009C1561" w:rsidRPr="003C4DC8">
        <w:rPr>
          <w:szCs w:val="24"/>
          <w:lang w:val="lv-LV"/>
        </w:rPr>
        <w:t xml:space="preserve"> vai </w:t>
      </w:r>
      <w:r w:rsidR="00982931">
        <w:rPr>
          <w:i/>
          <w:szCs w:val="24"/>
          <w:lang w:val="lv-LV"/>
        </w:rPr>
        <w:t>Kontrahentu B</w:t>
      </w:r>
      <w:r w:rsidR="009C1561" w:rsidRPr="003C4DC8">
        <w:rPr>
          <w:szCs w:val="24"/>
          <w:lang w:val="lv-LV"/>
        </w:rPr>
        <w:t xml:space="preserve"> un ja darījums netiek noslēgts atbilstoši BMTF noteikumiem, tad par izpildes vietu RTS 28 izpratnē var uzskatīt atbilstošo kontrahentu, ja </w:t>
      </w:r>
      <w:r w:rsidR="009157B6">
        <w:rPr>
          <w:szCs w:val="24"/>
          <w:lang w:val="lv-LV"/>
        </w:rPr>
        <w:t>tas</w:t>
      </w:r>
      <w:r w:rsidR="009157B6" w:rsidRPr="003C4DC8">
        <w:rPr>
          <w:szCs w:val="24"/>
          <w:lang w:val="lv-LV"/>
        </w:rPr>
        <w:t xml:space="preserve"> </w:t>
      </w:r>
      <w:r w:rsidR="009C1561" w:rsidRPr="003C4DC8">
        <w:rPr>
          <w:szCs w:val="24"/>
          <w:lang w:val="lv-LV"/>
        </w:rPr>
        <w:t>atbilst cita likviditātes nodrošinātāja</w:t>
      </w:r>
      <w:r w:rsidR="00A00605" w:rsidRPr="003C4DC8">
        <w:rPr>
          <w:szCs w:val="24"/>
          <w:lang w:val="lv-LV"/>
        </w:rPr>
        <w:t xml:space="preserve"> kritērijiem.</w:t>
      </w:r>
      <w:r w:rsidR="00FD2BA7" w:rsidRPr="00FD2BA7">
        <w:rPr>
          <w:szCs w:val="24"/>
          <w:lang w:val="lv-LV"/>
        </w:rPr>
        <w:t xml:space="preserve"> </w:t>
      </w:r>
      <w:r w:rsidR="00FD2BA7">
        <w:rPr>
          <w:szCs w:val="24"/>
          <w:lang w:val="lv-LV"/>
        </w:rPr>
        <w:t xml:space="preserve">Ja </w:t>
      </w:r>
      <w:r w:rsidR="00FD2BA7" w:rsidRPr="003C4DC8">
        <w:rPr>
          <w:szCs w:val="24"/>
          <w:lang w:val="lv-LV"/>
        </w:rPr>
        <w:t>kontrahent</w:t>
      </w:r>
      <w:r w:rsidR="00FD2BA7">
        <w:rPr>
          <w:szCs w:val="24"/>
          <w:lang w:val="lv-LV"/>
        </w:rPr>
        <w:t>i nav uzskatām</w:t>
      </w:r>
      <w:r>
        <w:rPr>
          <w:szCs w:val="24"/>
          <w:lang w:val="lv-LV"/>
        </w:rPr>
        <w:t>i</w:t>
      </w:r>
      <w:r w:rsidR="00FD2BA7">
        <w:rPr>
          <w:szCs w:val="24"/>
          <w:lang w:val="lv-LV"/>
        </w:rPr>
        <w:t xml:space="preserve"> par izpildes v</w:t>
      </w:r>
      <w:r w:rsidR="00E652E9">
        <w:rPr>
          <w:szCs w:val="24"/>
          <w:lang w:val="lv-LV"/>
        </w:rPr>
        <w:t xml:space="preserve">ietu RTS 28 izpratnē, </w:t>
      </w:r>
      <w:r w:rsidR="00FD2BA7">
        <w:rPr>
          <w:szCs w:val="24"/>
          <w:lang w:val="lv-LV"/>
        </w:rPr>
        <w:t>tad</w:t>
      </w:r>
      <w:r w:rsidR="00FD2BA7" w:rsidRPr="003C4DC8">
        <w:rPr>
          <w:szCs w:val="24"/>
          <w:lang w:val="lv-LV"/>
        </w:rPr>
        <w:t xml:space="preserve"> </w:t>
      </w:r>
      <w:r w:rsidRPr="000767D3">
        <w:rPr>
          <w:i/>
          <w:szCs w:val="24"/>
          <w:lang w:val="lv-LV"/>
        </w:rPr>
        <w:t>TOP5</w:t>
      </w:r>
      <w:r>
        <w:rPr>
          <w:szCs w:val="24"/>
          <w:lang w:val="lv-LV"/>
        </w:rPr>
        <w:t xml:space="preserve"> </w:t>
      </w:r>
      <w:r w:rsidR="00FD2BA7">
        <w:rPr>
          <w:szCs w:val="24"/>
          <w:lang w:val="lv-LV"/>
        </w:rPr>
        <w:t xml:space="preserve">izpildes vietu </w:t>
      </w:r>
      <w:r w:rsidR="00FD2BA7" w:rsidRPr="003C4DC8">
        <w:rPr>
          <w:szCs w:val="24"/>
          <w:lang w:val="lv-LV"/>
        </w:rPr>
        <w:t xml:space="preserve">sarakstā </w:t>
      </w:r>
      <w:r w:rsidR="00FD2BA7">
        <w:rPr>
          <w:szCs w:val="24"/>
          <w:lang w:val="lv-LV"/>
        </w:rPr>
        <w:t xml:space="preserve">tie </w:t>
      </w:r>
      <w:r w:rsidR="00FD2BA7" w:rsidRPr="003C4DC8">
        <w:rPr>
          <w:szCs w:val="24"/>
          <w:lang w:val="lv-LV"/>
        </w:rPr>
        <w:t>nav jānorāda</w:t>
      </w:r>
      <w:r w:rsidR="00FD2BA7">
        <w:rPr>
          <w:szCs w:val="24"/>
          <w:lang w:val="lv-LV"/>
        </w:rPr>
        <w:t>.</w:t>
      </w:r>
    </w:p>
    <w:p w:rsidR="009C1561" w:rsidRPr="003C4DC8" w:rsidRDefault="00D11D8F" w:rsidP="005532C7">
      <w:pPr>
        <w:pStyle w:val="ListParagraph"/>
        <w:spacing w:after="200"/>
        <w:ind w:left="0"/>
        <w:rPr>
          <w:b/>
          <w:szCs w:val="24"/>
        </w:rPr>
      </w:pPr>
      <w:r w:rsidRPr="00D06A3C">
        <w:rPr>
          <w:b/>
          <w:szCs w:val="24"/>
          <w:u w:val="single"/>
        </w:rPr>
        <w:t>3. jautājums</w:t>
      </w:r>
      <w:r w:rsidR="00F043D2" w:rsidRPr="00D06A3C">
        <w:rPr>
          <w:szCs w:val="24"/>
          <w:u w:val="single"/>
        </w:rPr>
        <w:t>.</w:t>
      </w:r>
      <w:r w:rsidRPr="003C4DC8">
        <w:rPr>
          <w:szCs w:val="24"/>
        </w:rPr>
        <w:t xml:space="preserve"> </w:t>
      </w:r>
      <w:r w:rsidR="009C1561" w:rsidRPr="003C4DC8">
        <w:rPr>
          <w:b/>
          <w:szCs w:val="24"/>
        </w:rPr>
        <w:t xml:space="preserve">Vai ir jānorāda, kur tieši tika izpildīts klienta rīkojums, ja Banka tikai nodod klienta rīkojumu tālākai izpildei (Banka nav biržas biedrs)? Vai </w:t>
      </w:r>
      <w:r w:rsidR="00BE0EDB">
        <w:rPr>
          <w:b/>
          <w:szCs w:val="24"/>
        </w:rPr>
        <w:t>š</w:t>
      </w:r>
      <w:r w:rsidR="009C1561" w:rsidRPr="003C4DC8">
        <w:rPr>
          <w:b/>
          <w:szCs w:val="24"/>
        </w:rPr>
        <w:t xml:space="preserve">ādi rīkojumi ir jāiekļauj </w:t>
      </w:r>
      <w:r w:rsidR="00BE0EDB" w:rsidRPr="003C4DC8">
        <w:rPr>
          <w:b/>
          <w:i/>
          <w:szCs w:val="24"/>
        </w:rPr>
        <w:t>TOP</w:t>
      </w:r>
      <w:r w:rsidR="00BE0EDB" w:rsidRPr="00BE0EDB">
        <w:rPr>
          <w:b/>
          <w:i/>
          <w:szCs w:val="24"/>
        </w:rPr>
        <w:t>5</w:t>
      </w:r>
      <w:r w:rsidR="00BE0EDB" w:rsidRPr="003C4DC8">
        <w:rPr>
          <w:b/>
          <w:szCs w:val="24"/>
        </w:rPr>
        <w:t xml:space="preserve"> </w:t>
      </w:r>
      <w:r w:rsidR="009C1561" w:rsidRPr="003C4DC8">
        <w:rPr>
          <w:b/>
          <w:szCs w:val="24"/>
        </w:rPr>
        <w:t>izpildes vietu publikācijā?</w:t>
      </w:r>
    </w:p>
    <w:p w:rsidR="00EE0166" w:rsidRPr="003C4DC8" w:rsidRDefault="00523627" w:rsidP="005532C7">
      <w:pPr>
        <w:spacing w:line="240" w:lineRule="auto"/>
        <w:jc w:val="both"/>
        <w:rPr>
          <w:rFonts w:cs="Times New Roman"/>
          <w:szCs w:val="24"/>
          <w:lang w:val="lv-LV"/>
        </w:rPr>
      </w:pPr>
      <w:r w:rsidRPr="00D06A3C">
        <w:rPr>
          <w:rFonts w:cs="Times New Roman"/>
          <w:b/>
          <w:szCs w:val="24"/>
          <w:u w:val="single"/>
          <w:lang w:val="lv-LV"/>
        </w:rPr>
        <w:t>Atbilde.</w:t>
      </w:r>
      <w:r>
        <w:rPr>
          <w:rFonts w:cs="Times New Roman"/>
          <w:szCs w:val="24"/>
          <w:lang w:val="lv-LV"/>
        </w:rPr>
        <w:t xml:space="preserve"> </w:t>
      </w:r>
      <w:r w:rsidR="00EE0166" w:rsidRPr="003C4DC8">
        <w:rPr>
          <w:rFonts w:cs="Times New Roman"/>
          <w:szCs w:val="24"/>
          <w:lang w:val="lv-LV"/>
        </w:rPr>
        <w:t xml:space="preserve">Lai izpildītu RTS 28 noteiktās prasības, Bankai jānorāda </w:t>
      </w:r>
      <w:r w:rsidR="00BE0EDB" w:rsidRPr="003C4DC8">
        <w:rPr>
          <w:rFonts w:cs="Times New Roman"/>
          <w:i/>
          <w:szCs w:val="24"/>
          <w:lang w:val="lv-LV"/>
        </w:rPr>
        <w:t>TOP5</w:t>
      </w:r>
      <w:r w:rsidR="00BE0EDB" w:rsidRPr="003C4DC8">
        <w:rPr>
          <w:rFonts w:cs="Times New Roman"/>
          <w:szCs w:val="24"/>
          <w:lang w:val="lv-LV"/>
        </w:rPr>
        <w:t xml:space="preserve"> </w:t>
      </w:r>
      <w:r w:rsidR="00EE0166" w:rsidRPr="003C4DC8">
        <w:rPr>
          <w:rFonts w:cs="Times New Roman"/>
          <w:szCs w:val="24"/>
          <w:lang w:val="lv-LV"/>
        </w:rPr>
        <w:t xml:space="preserve">izpildes vietas, kurās Banka pati izpildījusi klientu rīkojumus Regulas 2017/565 I pielikumā minētajām finanšu instrumentu kategorijām (piemēram, biržas, kurās Banka ir biedrs, MTF vai OTF, kurām Bankai ir tieša piekļuve, kontrahents, ar kuru tika noslēgti darījumi klienta vārdā, ja tika noslēgts starpbanku darījums (piemēram, par obligācijām) un Bankai ir pamats uzskatīt, ka kontrahents ir cits likviditātes nodrošinātājs par atbilstošo finanšu </w:t>
      </w:r>
      <w:r w:rsidR="00EE0166" w:rsidRPr="003C4DC8">
        <w:rPr>
          <w:rFonts w:cs="Times New Roman"/>
          <w:szCs w:val="24"/>
          <w:lang w:val="lv-LV"/>
        </w:rPr>
        <w:lastRenderedPageBreak/>
        <w:t>instrumentu). Kā izpildes vieta var tikt norādīta arī pati Banka vai Bankas grupas uzņēmums, ja tas regulāri slēdz darījumus savā vārdā un uz sava rēķina ar konkrētu finanšu instrumentu un ja to var uzskatīt par c</w:t>
      </w:r>
      <w:r w:rsidR="00E16A99">
        <w:rPr>
          <w:rFonts w:cs="Times New Roman"/>
          <w:szCs w:val="24"/>
          <w:lang w:val="lv-LV"/>
        </w:rPr>
        <w:t>itu likviditātes nodrošinātāju.</w:t>
      </w:r>
    </w:p>
    <w:p w:rsidR="003F1547" w:rsidRPr="003C4DC8" w:rsidRDefault="00EE0166" w:rsidP="005532C7">
      <w:pPr>
        <w:spacing w:line="240" w:lineRule="auto"/>
        <w:jc w:val="both"/>
        <w:rPr>
          <w:szCs w:val="24"/>
          <w:lang w:val="lv-LV"/>
        </w:rPr>
      </w:pPr>
      <w:r w:rsidRPr="003C4DC8">
        <w:rPr>
          <w:rFonts w:cs="Times New Roman"/>
          <w:szCs w:val="24"/>
          <w:lang w:val="lv-LV"/>
        </w:rPr>
        <w:t>Savukārt Regu</w:t>
      </w:r>
      <w:r w:rsidR="003F1547" w:rsidRPr="003C4DC8">
        <w:rPr>
          <w:rFonts w:cs="Times New Roman"/>
          <w:szCs w:val="24"/>
          <w:lang w:val="lv-LV"/>
        </w:rPr>
        <w:t xml:space="preserve">las 2017/565 65. panta </w:t>
      </w:r>
      <w:r w:rsidR="003F1547" w:rsidRPr="003C4DC8">
        <w:rPr>
          <w:szCs w:val="24"/>
          <w:lang w:val="lv-LV"/>
        </w:rPr>
        <w:t>6. punkts nosaka, ka, ja iestāde rīkojuma izpildes pakalpojumu sniegšanai izvēlas citas sabiedrības, tā reizi gadā par katru finanšu instrumentu kategoriju apkopo un publisko piecas tirdzniecības apjoma ziņā galvenās iestād</w:t>
      </w:r>
      <w:r w:rsidR="00BE0EDB">
        <w:rPr>
          <w:szCs w:val="24"/>
          <w:lang w:val="lv-LV"/>
        </w:rPr>
        <w:t>e</w:t>
      </w:r>
      <w:r w:rsidR="003F1547" w:rsidRPr="003C4DC8">
        <w:rPr>
          <w:szCs w:val="24"/>
          <w:lang w:val="lv-LV"/>
        </w:rPr>
        <w:t>s (kontrahentus – brokerus), kurām tā iepriekšējā gadā nosūtījusi vai kurās izvietojusi rīkojumus izpildei, kā arī sniedz informāciju par izpildes kvalitāti. Šai informācijai jāatbilst informācijai, kas publicēta saskaņā ar RTS 28 prasībām.</w:t>
      </w:r>
    </w:p>
    <w:p w:rsidR="003F1547" w:rsidRPr="003C4DC8" w:rsidRDefault="003F1547" w:rsidP="005532C7">
      <w:pPr>
        <w:spacing w:line="240" w:lineRule="auto"/>
        <w:jc w:val="both"/>
        <w:rPr>
          <w:szCs w:val="24"/>
          <w:lang w:val="lv-LV"/>
        </w:rPr>
      </w:pPr>
      <w:r w:rsidRPr="003C4DC8">
        <w:rPr>
          <w:szCs w:val="24"/>
          <w:lang w:val="lv-LV"/>
        </w:rPr>
        <w:t xml:space="preserve">Regulējumā tiek nodalīta tieša klientu rīkojumu izpilde no netiešas rīkojumu izpildes, </w:t>
      </w:r>
      <w:r w:rsidR="00BE0EDB">
        <w:rPr>
          <w:szCs w:val="24"/>
          <w:lang w:val="lv-LV"/>
        </w:rPr>
        <w:t>līdz ar to</w:t>
      </w:r>
      <w:r w:rsidR="00BE0EDB" w:rsidRPr="003C4DC8">
        <w:rPr>
          <w:szCs w:val="24"/>
          <w:lang w:val="lv-LV"/>
        </w:rPr>
        <w:t xml:space="preserve"> </w:t>
      </w:r>
      <w:r w:rsidRPr="003C4DC8">
        <w:rPr>
          <w:szCs w:val="24"/>
          <w:lang w:val="lv-LV"/>
        </w:rPr>
        <w:t xml:space="preserve">nepieciešams apkopot to arī atsevišķos pārskatos. ESMA sniegusi skaidrojumu, ka ieguldījumu pakalpojumu sniedzējam, ja tas izpilda klientu rīkojumus un veic rīkojumu nosūtīšanu izpildei citam ieguldījumu pakalpojumu sniedzējam, jāsagatavo divi atsevišķi pārskati – viens par </w:t>
      </w:r>
      <w:r w:rsidR="00BE0EDB" w:rsidRPr="003C4DC8">
        <w:rPr>
          <w:i/>
          <w:szCs w:val="24"/>
          <w:lang w:val="lv-LV"/>
        </w:rPr>
        <w:t>TOP5</w:t>
      </w:r>
      <w:r w:rsidR="00BE0EDB" w:rsidRPr="003C4DC8">
        <w:rPr>
          <w:szCs w:val="24"/>
          <w:lang w:val="lv-LV"/>
        </w:rPr>
        <w:t xml:space="preserve"> </w:t>
      </w:r>
      <w:r w:rsidRPr="003C4DC8">
        <w:rPr>
          <w:szCs w:val="24"/>
          <w:lang w:val="lv-LV"/>
        </w:rPr>
        <w:t xml:space="preserve">izpildes vietām, otrs par </w:t>
      </w:r>
      <w:r w:rsidR="00BE0EDB" w:rsidRPr="003C4DC8">
        <w:rPr>
          <w:i/>
          <w:szCs w:val="24"/>
          <w:lang w:val="lv-LV"/>
        </w:rPr>
        <w:t>TOP5</w:t>
      </w:r>
      <w:r w:rsidR="00BE0EDB" w:rsidRPr="003C4DC8">
        <w:rPr>
          <w:szCs w:val="24"/>
          <w:lang w:val="lv-LV"/>
        </w:rPr>
        <w:t xml:space="preserve"> </w:t>
      </w:r>
      <w:r w:rsidRPr="003C4DC8">
        <w:rPr>
          <w:szCs w:val="24"/>
          <w:lang w:val="lv-LV"/>
        </w:rPr>
        <w:t xml:space="preserve">kontrahentiem – brokeriem (ESMA </w:t>
      </w:r>
      <w:r w:rsidR="00BE0EDB">
        <w:rPr>
          <w:szCs w:val="24"/>
          <w:lang w:val="lv-LV"/>
        </w:rPr>
        <w:t>dokuments</w:t>
      </w:r>
      <w:r w:rsidRPr="003C4DC8">
        <w:rPr>
          <w:szCs w:val="24"/>
          <w:lang w:val="lv-LV"/>
        </w:rPr>
        <w:t xml:space="preserve"> </w:t>
      </w:r>
      <w:r w:rsidR="00BE0EDB">
        <w:rPr>
          <w:szCs w:val="24"/>
          <w:lang w:val="lv-LV"/>
        </w:rPr>
        <w:t>"</w:t>
      </w:r>
      <w:proofErr w:type="spellStart"/>
      <w:r w:rsidRPr="003C4DC8">
        <w:rPr>
          <w:i/>
          <w:szCs w:val="24"/>
          <w:lang w:val="lv-LV"/>
        </w:rPr>
        <w:t>On</w:t>
      </w:r>
      <w:proofErr w:type="spellEnd"/>
      <w:r w:rsidRPr="003C4DC8">
        <w:rPr>
          <w:i/>
          <w:szCs w:val="24"/>
          <w:lang w:val="lv-LV"/>
        </w:rPr>
        <w:t xml:space="preserve"> </w:t>
      </w:r>
      <w:proofErr w:type="spellStart"/>
      <w:r w:rsidRPr="003C4DC8">
        <w:rPr>
          <w:i/>
          <w:szCs w:val="24"/>
          <w:lang w:val="lv-LV"/>
        </w:rPr>
        <w:t>MiFIDII</w:t>
      </w:r>
      <w:proofErr w:type="spellEnd"/>
      <w:r w:rsidRPr="003C4DC8">
        <w:rPr>
          <w:i/>
          <w:szCs w:val="24"/>
          <w:lang w:val="lv-LV"/>
        </w:rPr>
        <w:t xml:space="preserve"> </w:t>
      </w:r>
      <w:proofErr w:type="spellStart"/>
      <w:r w:rsidRPr="003C4DC8">
        <w:rPr>
          <w:i/>
          <w:szCs w:val="24"/>
          <w:lang w:val="lv-LV"/>
        </w:rPr>
        <w:t>and</w:t>
      </w:r>
      <w:proofErr w:type="spellEnd"/>
      <w:r w:rsidRPr="003C4DC8">
        <w:rPr>
          <w:i/>
          <w:szCs w:val="24"/>
          <w:lang w:val="lv-LV"/>
        </w:rPr>
        <w:t xml:space="preserve"> </w:t>
      </w:r>
      <w:proofErr w:type="spellStart"/>
      <w:r w:rsidRPr="003C4DC8">
        <w:rPr>
          <w:i/>
          <w:szCs w:val="24"/>
          <w:lang w:val="lv-LV"/>
        </w:rPr>
        <w:t>MiFIR</w:t>
      </w:r>
      <w:proofErr w:type="spellEnd"/>
      <w:r w:rsidRPr="003C4DC8">
        <w:rPr>
          <w:i/>
          <w:szCs w:val="24"/>
          <w:lang w:val="lv-LV"/>
        </w:rPr>
        <w:t xml:space="preserve"> investor protection and intermediaries topics</w:t>
      </w:r>
      <w:r w:rsidR="00BE0EDB">
        <w:rPr>
          <w:i/>
          <w:szCs w:val="24"/>
          <w:lang w:val="lv-LV"/>
        </w:rPr>
        <w:t>"</w:t>
      </w:r>
      <w:r w:rsidR="009C10F6">
        <w:rPr>
          <w:i/>
          <w:szCs w:val="24"/>
          <w:lang w:val="lv-LV"/>
        </w:rPr>
        <w:t xml:space="preserve"> </w:t>
      </w:r>
      <w:r w:rsidR="009C10F6" w:rsidRPr="00D06A3C">
        <w:rPr>
          <w:szCs w:val="24"/>
          <w:lang w:val="lv-LV"/>
        </w:rPr>
        <w:t>(turpmāk</w:t>
      </w:r>
      <w:r w:rsidR="009C10F6">
        <w:rPr>
          <w:i/>
          <w:szCs w:val="24"/>
          <w:lang w:val="lv-LV"/>
        </w:rPr>
        <w:t xml:space="preserve"> – Q&amp;A</w:t>
      </w:r>
      <w:r w:rsidR="009C10F6" w:rsidRPr="00D06A3C">
        <w:rPr>
          <w:szCs w:val="24"/>
          <w:lang w:val="lv-LV"/>
        </w:rPr>
        <w:t>)</w:t>
      </w:r>
      <w:r w:rsidRPr="003C4DC8">
        <w:rPr>
          <w:szCs w:val="24"/>
          <w:lang w:val="lv-LV"/>
        </w:rPr>
        <w:t xml:space="preserve">, 1. sadaļa </w:t>
      </w:r>
      <w:r w:rsidR="00BE0EDB">
        <w:rPr>
          <w:szCs w:val="24"/>
          <w:lang w:val="lv-LV"/>
        </w:rPr>
        <w:t>"</w:t>
      </w:r>
      <w:r w:rsidRPr="003C4DC8">
        <w:rPr>
          <w:i/>
          <w:szCs w:val="24"/>
          <w:lang w:val="lv-LV"/>
        </w:rPr>
        <w:t>Best execution</w:t>
      </w:r>
      <w:r w:rsidR="00BE0EDB">
        <w:rPr>
          <w:szCs w:val="24"/>
          <w:lang w:val="lv-LV"/>
        </w:rPr>
        <w:t>"</w:t>
      </w:r>
      <w:r w:rsidRPr="003C4DC8">
        <w:rPr>
          <w:szCs w:val="24"/>
          <w:lang w:val="lv-LV"/>
        </w:rPr>
        <w:t>, 7. jautājums)</w:t>
      </w:r>
      <w:r w:rsidR="009C10F6">
        <w:rPr>
          <w:szCs w:val="24"/>
          <w:lang w:val="lv-LV"/>
        </w:rPr>
        <w:t>.</w:t>
      </w:r>
    </w:p>
    <w:p w:rsidR="003F1547" w:rsidRPr="003C4DC8" w:rsidRDefault="003F1547" w:rsidP="005532C7">
      <w:pPr>
        <w:spacing w:after="200" w:line="240" w:lineRule="auto"/>
        <w:jc w:val="both"/>
        <w:rPr>
          <w:szCs w:val="24"/>
          <w:lang w:val="lv-LV"/>
        </w:rPr>
      </w:pPr>
      <w:r w:rsidRPr="003C4DC8">
        <w:rPr>
          <w:szCs w:val="24"/>
          <w:lang w:val="lv-LV"/>
        </w:rPr>
        <w:t xml:space="preserve">Ja klienta rīkojums nodots </w:t>
      </w:r>
      <w:r w:rsidR="007D7BD1" w:rsidRPr="003C4DC8">
        <w:rPr>
          <w:szCs w:val="24"/>
          <w:lang w:val="lv-LV"/>
        </w:rPr>
        <w:t xml:space="preserve">kontrahentam </w:t>
      </w:r>
      <w:r w:rsidR="00523627" w:rsidRPr="003C4DC8">
        <w:rPr>
          <w:szCs w:val="24"/>
          <w:lang w:val="lv-LV"/>
        </w:rPr>
        <w:t xml:space="preserve">tālākai </w:t>
      </w:r>
      <w:r w:rsidRPr="003C4DC8">
        <w:rPr>
          <w:szCs w:val="24"/>
          <w:lang w:val="lv-LV"/>
        </w:rPr>
        <w:t>izpildei kādā no izpildes vietām, tad tas tiek ņemts vērā</w:t>
      </w:r>
      <w:r w:rsidRPr="003C4DC8">
        <w:rPr>
          <w:i/>
          <w:szCs w:val="24"/>
          <w:lang w:val="lv-LV"/>
        </w:rPr>
        <w:t xml:space="preserve"> </w:t>
      </w:r>
      <w:r w:rsidR="00523627" w:rsidRPr="003C4DC8">
        <w:rPr>
          <w:i/>
          <w:szCs w:val="24"/>
          <w:lang w:val="lv-LV"/>
        </w:rPr>
        <w:t>TOP</w:t>
      </w:r>
      <w:r w:rsidR="00523627" w:rsidRPr="00523627">
        <w:rPr>
          <w:i/>
          <w:szCs w:val="24"/>
          <w:lang w:val="lv-LV"/>
        </w:rPr>
        <w:t>5</w:t>
      </w:r>
      <w:r w:rsidR="00523627" w:rsidRPr="003C4DC8">
        <w:rPr>
          <w:szCs w:val="24"/>
          <w:lang w:val="lv-LV"/>
        </w:rPr>
        <w:t xml:space="preserve"> </w:t>
      </w:r>
      <w:r w:rsidRPr="003C4DC8">
        <w:rPr>
          <w:szCs w:val="24"/>
          <w:lang w:val="lv-LV"/>
        </w:rPr>
        <w:t>brokeru sarakst</w:t>
      </w:r>
      <w:r w:rsidR="00E652E9">
        <w:rPr>
          <w:szCs w:val="24"/>
          <w:lang w:val="lv-LV"/>
        </w:rPr>
        <w:t>a apkopošanā,</w:t>
      </w:r>
      <w:r w:rsidR="007D7BD1" w:rsidRPr="003C4DC8">
        <w:rPr>
          <w:szCs w:val="24"/>
          <w:lang w:val="lv-LV"/>
        </w:rPr>
        <w:t xml:space="preserve"> </w:t>
      </w:r>
      <w:r w:rsidR="007D7BD1" w:rsidRPr="003C4DC8">
        <w:rPr>
          <w:rFonts w:cs="Times New Roman"/>
          <w:szCs w:val="24"/>
          <w:lang w:val="lv-LV"/>
        </w:rPr>
        <w:t>uzrādot tās piecas ieguldījumu brokeru sabiedrības vai kredītiestādes, kurām Banka visbiežāk nosūtījusi izpildei klientu rīkojumus</w:t>
      </w:r>
      <w:r w:rsidRPr="003C4DC8">
        <w:rPr>
          <w:szCs w:val="24"/>
          <w:lang w:val="lv-LV"/>
        </w:rPr>
        <w:t xml:space="preserve">, savukārt publikācijā par </w:t>
      </w:r>
      <w:r w:rsidR="00523627" w:rsidRPr="003C4DC8">
        <w:rPr>
          <w:i/>
          <w:szCs w:val="24"/>
          <w:lang w:val="lv-LV"/>
        </w:rPr>
        <w:t>TOP</w:t>
      </w:r>
      <w:r w:rsidR="00523627" w:rsidRPr="00523627">
        <w:rPr>
          <w:i/>
          <w:szCs w:val="24"/>
          <w:lang w:val="lv-LV"/>
        </w:rPr>
        <w:t>5</w:t>
      </w:r>
      <w:r w:rsidR="00523627" w:rsidRPr="003C4DC8">
        <w:rPr>
          <w:szCs w:val="24"/>
          <w:lang w:val="lv-LV"/>
        </w:rPr>
        <w:t xml:space="preserve"> </w:t>
      </w:r>
      <w:r w:rsidRPr="003C4DC8">
        <w:rPr>
          <w:szCs w:val="24"/>
          <w:lang w:val="lv-LV"/>
        </w:rPr>
        <w:t>izpildes vietām šādi darījumi</w:t>
      </w:r>
      <w:r w:rsidR="00E652E9">
        <w:rPr>
          <w:szCs w:val="24"/>
          <w:lang w:val="lv-LV"/>
        </w:rPr>
        <w:t>, kuri nodoti kontrahentam tālākai izpildei,</w:t>
      </w:r>
      <w:r w:rsidRPr="003C4DC8">
        <w:rPr>
          <w:szCs w:val="24"/>
          <w:lang w:val="lv-LV"/>
        </w:rPr>
        <w:t xml:space="preserve"> netiek ņemti vērā. </w:t>
      </w:r>
    </w:p>
    <w:p w:rsidR="009C1561" w:rsidRPr="003C4DC8" w:rsidRDefault="007D7BD1" w:rsidP="00D06A3C">
      <w:pPr>
        <w:spacing w:after="200" w:line="240" w:lineRule="auto"/>
        <w:jc w:val="both"/>
        <w:rPr>
          <w:b/>
          <w:szCs w:val="24"/>
          <w:lang w:val="lv-LV"/>
        </w:rPr>
      </w:pPr>
      <w:r w:rsidRPr="00D06A3C">
        <w:rPr>
          <w:b/>
          <w:szCs w:val="24"/>
          <w:u w:val="single"/>
          <w:lang w:val="lv-LV"/>
        </w:rPr>
        <w:t>4. jautājums</w:t>
      </w:r>
      <w:r w:rsidR="00523627" w:rsidRPr="00D06A3C">
        <w:rPr>
          <w:b/>
          <w:szCs w:val="24"/>
          <w:u w:val="single"/>
          <w:lang w:val="lv-LV"/>
        </w:rPr>
        <w:t>.</w:t>
      </w:r>
      <w:r w:rsidRPr="003C4DC8">
        <w:rPr>
          <w:b/>
          <w:szCs w:val="24"/>
          <w:lang w:val="lv-LV"/>
        </w:rPr>
        <w:t xml:space="preserve"> </w:t>
      </w:r>
      <w:r w:rsidR="009C1561" w:rsidRPr="003C4DC8">
        <w:rPr>
          <w:b/>
          <w:szCs w:val="24"/>
          <w:lang w:val="lv-LV"/>
        </w:rPr>
        <w:t>Banka nodod izpildei klienta rīkojumus darījumiem ar CFD (</w:t>
      </w:r>
      <w:proofErr w:type="spellStart"/>
      <w:r w:rsidR="009C1561" w:rsidRPr="003C4DC8">
        <w:rPr>
          <w:b/>
          <w:i/>
          <w:szCs w:val="24"/>
          <w:lang w:val="lv-LV"/>
        </w:rPr>
        <w:t>Contract</w:t>
      </w:r>
      <w:proofErr w:type="spellEnd"/>
      <w:r w:rsidR="009C1561" w:rsidRPr="003C4DC8">
        <w:rPr>
          <w:b/>
          <w:i/>
          <w:szCs w:val="24"/>
          <w:lang w:val="lv-LV"/>
        </w:rPr>
        <w:t xml:space="preserve"> </w:t>
      </w:r>
      <w:proofErr w:type="spellStart"/>
      <w:r w:rsidR="009C1561" w:rsidRPr="003C4DC8">
        <w:rPr>
          <w:b/>
          <w:i/>
          <w:szCs w:val="24"/>
          <w:lang w:val="lv-LV"/>
        </w:rPr>
        <w:t>for</w:t>
      </w:r>
      <w:proofErr w:type="spellEnd"/>
      <w:r w:rsidR="009C1561" w:rsidRPr="003C4DC8">
        <w:rPr>
          <w:b/>
          <w:i/>
          <w:szCs w:val="24"/>
          <w:lang w:val="lv-LV"/>
        </w:rPr>
        <w:t xml:space="preserve"> </w:t>
      </w:r>
      <w:proofErr w:type="spellStart"/>
      <w:r w:rsidR="009157B6" w:rsidRPr="003C4DC8">
        <w:rPr>
          <w:b/>
          <w:i/>
          <w:szCs w:val="24"/>
          <w:lang w:val="lv-LV"/>
        </w:rPr>
        <w:t>D</w:t>
      </w:r>
      <w:r w:rsidR="009C1561" w:rsidRPr="003C4DC8">
        <w:rPr>
          <w:b/>
          <w:i/>
          <w:szCs w:val="24"/>
          <w:lang w:val="lv-LV"/>
        </w:rPr>
        <w:t>ifference</w:t>
      </w:r>
      <w:proofErr w:type="spellEnd"/>
      <w:r w:rsidR="009C1561" w:rsidRPr="003C4DC8">
        <w:rPr>
          <w:b/>
          <w:szCs w:val="24"/>
          <w:lang w:val="lv-LV"/>
        </w:rPr>
        <w:t xml:space="preserve">) vienīgi </w:t>
      </w:r>
      <w:r w:rsidR="009C10F6">
        <w:rPr>
          <w:b/>
          <w:i/>
          <w:szCs w:val="24"/>
          <w:lang w:val="lv-LV"/>
        </w:rPr>
        <w:t>K</w:t>
      </w:r>
      <w:r w:rsidR="00982931">
        <w:rPr>
          <w:b/>
          <w:i/>
          <w:szCs w:val="24"/>
          <w:lang w:val="lv-LV"/>
        </w:rPr>
        <w:t>ontrahentam</w:t>
      </w:r>
      <w:r w:rsidR="009C10F6">
        <w:rPr>
          <w:b/>
          <w:i/>
          <w:szCs w:val="24"/>
          <w:lang w:val="lv-LV"/>
        </w:rPr>
        <w:t xml:space="preserve"> </w:t>
      </w:r>
      <w:r w:rsidR="001F3614">
        <w:rPr>
          <w:b/>
          <w:i/>
          <w:szCs w:val="24"/>
          <w:lang w:val="lv-LV"/>
        </w:rPr>
        <w:t>D</w:t>
      </w:r>
      <w:r w:rsidR="009C1561" w:rsidRPr="003C4DC8">
        <w:rPr>
          <w:b/>
          <w:szCs w:val="24"/>
          <w:lang w:val="lv-LV"/>
        </w:rPr>
        <w:t>. Vai var uzskatīt, ka pēc noklusējuma visi rīkojumi ir virzītie rīkojumi (</w:t>
      </w:r>
      <w:r w:rsidR="009C1561" w:rsidRPr="003C4DC8">
        <w:rPr>
          <w:b/>
          <w:i/>
          <w:szCs w:val="24"/>
          <w:lang w:val="lv-LV"/>
        </w:rPr>
        <w:t>directed order</w:t>
      </w:r>
      <w:r w:rsidR="009C1561" w:rsidRPr="003C4DC8">
        <w:rPr>
          <w:b/>
          <w:szCs w:val="24"/>
          <w:lang w:val="lv-LV"/>
        </w:rPr>
        <w:t>) vai tieši otrādi?</w:t>
      </w:r>
    </w:p>
    <w:p w:rsidR="009C10F6" w:rsidRDefault="00523627" w:rsidP="005532C7">
      <w:pPr>
        <w:spacing w:after="200" w:line="240" w:lineRule="auto"/>
        <w:jc w:val="both"/>
        <w:rPr>
          <w:szCs w:val="24"/>
          <w:lang w:val="lv-LV"/>
        </w:rPr>
      </w:pPr>
      <w:r w:rsidRPr="00D06A3C">
        <w:rPr>
          <w:b/>
          <w:szCs w:val="24"/>
          <w:u w:val="single"/>
          <w:lang w:val="lv-LV"/>
        </w:rPr>
        <w:t>Atbilde.</w:t>
      </w:r>
      <w:r>
        <w:rPr>
          <w:szCs w:val="24"/>
          <w:lang w:val="lv-LV"/>
        </w:rPr>
        <w:t xml:space="preserve"> </w:t>
      </w:r>
      <w:r w:rsidR="007D7BD1" w:rsidRPr="003C4DC8">
        <w:rPr>
          <w:szCs w:val="24"/>
          <w:lang w:val="lv-LV"/>
        </w:rPr>
        <w:t>S</w:t>
      </w:r>
      <w:r w:rsidR="00F74035">
        <w:rPr>
          <w:szCs w:val="24"/>
          <w:lang w:val="lv-LV"/>
        </w:rPr>
        <w:t>askaņā ar RTS 28</w:t>
      </w:r>
      <w:r w:rsidR="009C1561" w:rsidRPr="003C4DC8">
        <w:rPr>
          <w:szCs w:val="24"/>
          <w:lang w:val="lv-LV"/>
        </w:rPr>
        <w:t xml:space="preserve"> 2. pantu virzīts rīkojums ir rīkojums, kuram klients pirms tā izpildes ir norādījis konkrētu izpildes vietu. Šajā gadījumā</w:t>
      </w:r>
      <w:r w:rsidR="001F3614">
        <w:rPr>
          <w:szCs w:val="24"/>
          <w:lang w:val="lv-LV"/>
        </w:rPr>
        <w:t xml:space="preserve">, kad Banka nodod rīkojumu darījumiem ar CFD izpildei </w:t>
      </w:r>
      <w:r w:rsidR="001F3614" w:rsidRPr="00536251">
        <w:rPr>
          <w:i/>
          <w:szCs w:val="24"/>
          <w:lang w:val="lv-LV"/>
        </w:rPr>
        <w:t xml:space="preserve">Kontrahentam </w:t>
      </w:r>
      <w:r w:rsidR="001F3614">
        <w:rPr>
          <w:i/>
          <w:szCs w:val="24"/>
          <w:lang w:val="lv-LV"/>
        </w:rPr>
        <w:t>D</w:t>
      </w:r>
      <w:r w:rsidR="009C1561" w:rsidRPr="003C4DC8">
        <w:rPr>
          <w:szCs w:val="24"/>
          <w:lang w:val="lv-LV"/>
        </w:rPr>
        <w:t xml:space="preserve"> </w:t>
      </w:r>
      <w:r w:rsidR="001F3614">
        <w:rPr>
          <w:szCs w:val="24"/>
          <w:lang w:val="lv-LV"/>
        </w:rPr>
        <w:t xml:space="preserve">un </w:t>
      </w:r>
      <w:r w:rsidR="005D276F" w:rsidRPr="003C4DC8">
        <w:rPr>
          <w:szCs w:val="24"/>
          <w:lang w:val="lv-LV"/>
        </w:rPr>
        <w:t xml:space="preserve">klients </w:t>
      </w:r>
      <w:r w:rsidR="005D276F">
        <w:rPr>
          <w:szCs w:val="24"/>
          <w:lang w:val="lv-LV"/>
        </w:rPr>
        <w:t>nav</w:t>
      </w:r>
      <w:r w:rsidR="005D276F" w:rsidRPr="003C4DC8">
        <w:rPr>
          <w:szCs w:val="24"/>
          <w:lang w:val="lv-LV"/>
        </w:rPr>
        <w:t xml:space="preserve"> rīkojum</w:t>
      </w:r>
      <w:r w:rsidR="005D276F">
        <w:rPr>
          <w:szCs w:val="24"/>
          <w:lang w:val="lv-LV"/>
        </w:rPr>
        <w:t>ā</w:t>
      </w:r>
      <w:r w:rsidR="005D276F" w:rsidRPr="003C4DC8">
        <w:rPr>
          <w:szCs w:val="24"/>
          <w:lang w:val="lv-LV"/>
        </w:rPr>
        <w:t xml:space="preserve"> </w:t>
      </w:r>
      <w:r w:rsidR="005D276F">
        <w:rPr>
          <w:szCs w:val="24"/>
          <w:lang w:val="lv-LV"/>
        </w:rPr>
        <w:t>norādījis konkrētu</w:t>
      </w:r>
      <w:r w:rsidR="005D276F" w:rsidRPr="003C4DC8">
        <w:rPr>
          <w:szCs w:val="24"/>
          <w:lang w:val="lv-LV"/>
        </w:rPr>
        <w:t xml:space="preserve"> </w:t>
      </w:r>
      <w:r w:rsidR="005D276F">
        <w:rPr>
          <w:szCs w:val="24"/>
          <w:lang w:val="lv-LV"/>
        </w:rPr>
        <w:t xml:space="preserve">izpildes </w:t>
      </w:r>
      <w:r w:rsidR="005D276F" w:rsidRPr="003C4DC8">
        <w:rPr>
          <w:szCs w:val="24"/>
          <w:lang w:val="lv-LV"/>
        </w:rPr>
        <w:t>viet</w:t>
      </w:r>
      <w:r w:rsidR="005D276F">
        <w:rPr>
          <w:szCs w:val="24"/>
          <w:lang w:val="lv-LV"/>
        </w:rPr>
        <w:t>u</w:t>
      </w:r>
      <w:r w:rsidR="009C1561" w:rsidRPr="003C4DC8">
        <w:rPr>
          <w:szCs w:val="24"/>
          <w:lang w:val="lv-LV"/>
        </w:rPr>
        <w:t xml:space="preserve">, </w:t>
      </w:r>
      <w:r w:rsidR="001F3614">
        <w:rPr>
          <w:szCs w:val="24"/>
          <w:lang w:val="lv-LV"/>
        </w:rPr>
        <w:t>rīkojums</w:t>
      </w:r>
      <w:r w:rsidR="009C1561" w:rsidRPr="003C4DC8">
        <w:rPr>
          <w:szCs w:val="24"/>
          <w:lang w:val="lv-LV"/>
        </w:rPr>
        <w:t xml:space="preserve"> </w:t>
      </w:r>
      <w:r w:rsidR="006A5543">
        <w:rPr>
          <w:szCs w:val="24"/>
          <w:lang w:val="lv-LV"/>
        </w:rPr>
        <w:t xml:space="preserve">automātiski vēl </w:t>
      </w:r>
      <w:r w:rsidR="009C10F6">
        <w:rPr>
          <w:szCs w:val="24"/>
          <w:lang w:val="lv-LV"/>
        </w:rPr>
        <w:t>nebūtu jā</w:t>
      </w:r>
      <w:r w:rsidR="009C10F6" w:rsidRPr="003C4DC8">
        <w:rPr>
          <w:szCs w:val="24"/>
          <w:lang w:val="lv-LV"/>
        </w:rPr>
        <w:t>uzskat</w:t>
      </w:r>
      <w:r w:rsidR="009C10F6">
        <w:rPr>
          <w:szCs w:val="24"/>
          <w:lang w:val="lv-LV"/>
        </w:rPr>
        <w:t>a</w:t>
      </w:r>
      <w:r w:rsidR="009C10F6" w:rsidRPr="003C4DC8">
        <w:rPr>
          <w:szCs w:val="24"/>
          <w:lang w:val="lv-LV"/>
        </w:rPr>
        <w:t xml:space="preserve"> </w:t>
      </w:r>
      <w:r w:rsidR="009C1561" w:rsidRPr="003C4DC8">
        <w:rPr>
          <w:szCs w:val="24"/>
          <w:lang w:val="lv-LV"/>
        </w:rPr>
        <w:t xml:space="preserve">par virzītu rīkojumu. </w:t>
      </w:r>
    </w:p>
    <w:p w:rsidR="00A307E6" w:rsidRDefault="002E2A30" w:rsidP="005532C7">
      <w:pPr>
        <w:spacing w:after="200" w:line="240" w:lineRule="auto"/>
        <w:jc w:val="both"/>
        <w:rPr>
          <w:szCs w:val="24"/>
          <w:lang w:val="lv-LV"/>
        </w:rPr>
      </w:pPr>
      <w:r>
        <w:rPr>
          <w:szCs w:val="24"/>
          <w:lang w:val="lv-LV"/>
        </w:rPr>
        <w:t>J</w:t>
      </w:r>
      <w:r w:rsidR="009C1561" w:rsidRPr="003C4DC8">
        <w:rPr>
          <w:szCs w:val="24"/>
          <w:lang w:val="lv-LV"/>
        </w:rPr>
        <w:t xml:space="preserve">a </w:t>
      </w:r>
      <w:r>
        <w:rPr>
          <w:szCs w:val="24"/>
          <w:lang w:val="lv-LV"/>
        </w:rPr>
        <w:t xml:space="preserve">Bankas klientiem </w:t>
      </w:r>
      <w:r w:rsidR="009C1561" w:rsidRPr="003C4DC8">
        <w:rPr>
          <w:szCs w:val="24"/>
          <w:lang w:val="lv-LV"/>
        </w:rPr>
        <w:t xml:space="preserve">ir tieša piekļuve </w:t>
      </w:r>
      <w:r w:rsidR="009C10F6">
        <w:rPr>
          <w:i/>
          <w:szCs w:val="24"/>
          <w:lang w:val="lv-LV"/>
        </w:rPr>
        <w:t xml:space="preserve">Kontrahenta </w:t>
      </w:r>
      <w:r w:rsidR="001F3614">
        <w:rPr>
          <w:i/>
          <w:szCs w:val="24"/>
          <w:lang w:val="lv-LV"/>
        </w:rPr>
        <w:t>D</w:t>
      </w:r>
      <w:r w:rsidR="009C1561" w:rsidRPr="003C4DC8">
        <w:rPr>
          <w:szCs w:val="24"/>
          <w:lang w:val="lv-LV"/>
        </w:rPr>
        <w:t xml:space="preserve"> </w:t>
      </w:r>
      <w:r w:rsidR="009C10F6" w:rsidRPr="003C4DC8">
        <w:rPr>
          <w:szCs w:val="24"/>
          <w:lang w:val="lv-LV"/>
        </w:rPr>
        <w:t>tirdzniecība</w:t>
      </w:r>
      <w:r w:rsidR="009C10F6">
        <w:rPr>
          <w:szCs w:val="24"/>
          <w:lang w:val="lv-LV"/>
        </w:rPr>
        <w:t>s</w:t>
      </w:r>
      <w:r w:rsidR="009C10F6" w:rsidRPr="003C4DC8">
        <w:rPr>
          <w:szCs w:val="24"/>
          <w:lang w:val="lv-LV"/>
        </w:rPr>
        <w:t xml:space="preserve"> </w:t>
      </w:r>
      <w:r w:rsidR="009C1561" w:rsidRPr="003C4DC8">
        <w:rPr>
          <w:szCs w:val="24"/>
          <w:lang w:val="lv-LV"/>
        </w:rPr>
        <w:t xml:space="preserve">platformai, kurā </w:t>
      </w:r>
      <w:r w:rsidR="009C10F6">
        <w:rPr>
          <w:szCs w:val="24"/>
          <w:lang w:val="lv-LV"/>
        </w:rPr>
        <w:t xml:space="preserve">ir </w:t>
      </w:r>
      <w:r>
        <w:rPr>
          <w:szCs w:val="24"/>
          <w:lang w:val="lv-LV"/>
        </w:rPr>
        <w:t xml:space="preserve">pieejamas </w:t>
      </w:r>
      <w:r w:rsidR="009C10F6">
        <w:rPr>
          <w:szCs w:val="24"/>
          <w:lang w:val="lv-LV"/>
        </w:rPr>
        <w:t xml:space="preserve">CFD kotācijas un kurā </w:t>
      </w:r>
      <w:r w:rsidR="009C1561" w:rsidRPr="003C4DC8">
        <w:rPr>
          <w:szCs w:val="24"/>
          <w:lang w:val="lv-LV"/>
        </w:rPr>
        <w:t>tiek slēgti darījumi</w:t>
      </w:r>
      <w:r w:rsidR="009B257A">
        <w:rPr>
          <w:szCs w:val="24"/>
          <w:lang w:val="lv-LV"/>
        </w:rPr>
        <w:t xml:space="preserve"> ar </w:t>
      </w:r>
      <w:r w:rsidR="00F30B9C">
        <w:rPr>
          <w:szCs w:val="24"/>
          <w:lang w:val="lv-LV"/>
        </w:rPr>
        <w:t xml:space="preserve">CFD ar </w:t>
      </w:r>
      <w:r w:rsidR="009B257A" w:rsidRPr="00364FD5">
        <w:rPr>
          <w:i/>
          <w:szCs w:val="24"/>
          <w:lang w:val="lv-LV"/>
        </w:rPr>
        <w:t xml:space="preserve">Kontrahentu </w:t>
      </w:r>
      <w:r w:rsidR="001F3614">
        <w:rPr>
          <w:i/>
          <w:szCs w:val="24"/>
          <w:lang w:val="lv-LV"/>
        </w:rPr>
        <w:t>D</w:t>
      </w:r>
      <w:r w:rsidR="009C1561" w:rsidRPr="003C4DC8">
        <w:rPr>
          <w:szCs w:val="24"/>
          <w:lang w:val="lv-LV"/>
        </w:rPr>
        <w:t xml:space="preserve">, </w:t>
      </w:r>
      <w:r w:rsidR="009C10F6" w:rsidRPr="00364FD5">
        <w:rPr>
          <w:i/>
          <w:szCs w:val="24"/>
          <w:lang w:val="lv-LV"/>
        </w:rPr>
        <w:t>K</w:t>
      </w:r>
      <w:r w:rsidR="009C10F6" w:rsidRPr="009C10F6">
        <w:rPr>
          <w:i/>
          <w:szCs w:val="24"/>
          <w:lang w:val="lv-LV"/>
        </w:rPr>
        <w:t>ontrahents</w:t>
      </w:r>
      <w:r w:rsidR="009C10F6">
        <w:rPr>
          <w:i/>
          <w:szCs w:val="24"/>
          <w:lang w:val="lv-LV"/>
        </w:rPr>
        <w:t xml:space="preserve"> </w:t>
      </w:r>
      <w:r w:rsidR="001F3614">
        <w:rPr>
          <w:i/>
          <w:szCs w:val="24"/>
          <w:lang w:val="lv-LV"/>
        </w:rPr>
        <w:t xml:space="preserve">D </w:t>
      </w:r>
      <w:r w:rsidR="009C10F6" w:rsidRPr="00364FD5">
        <w:rPr>
          <w:szCs w:val="24"/>
          <w:lang w:val="lv-LV"/>
        </w:rPr>
        <w:t>varētu tikt</w:t>
      </w:r>
      <w:r w:rsidR="009C10F6">
        <w:rPr>
          <w:i/>
          <w:szCs w:val="24"/>
          <w:lang w:val="lv-LV"/>
        </w:rPr>
        <w:t xml:space="preserve"> </w:t>
      </w:r>
      <w:r w:rsidR="009C10F6">
        <w:rPr>
          <w:szCs w:val="24"/>
          <w:lang w:val="lv-LV"/>
        </w:rPr>
        <w:t>u</w:t>
      </w:r>
      <w:r w:rsidR="009C1561" w:rsidRPr="003C4DC8">
        <w:rPr>
          <w:szCs w:val="24"/>
          <w:lang w:val="lv-LV"/>
        </w:rPr>
        <w:t>zskat</w:t>
      </w:r>
      <w:r w:rsidR="009C10F6">
        <w:rPr>
          <w:szCs w:val="24"/>
          <w:lang w:val="lv-LV"/>
        </w:rPr>
        <w:t>īts</w:t>
      </w:r>
      <w:r w:rsidR="009C1561" w:rsidRPr="003C4DC8">
        <w:rPr>
          <w:szCs w:val="24"/>
          <w:lang w:val="lv-LV"/>
        </w:rPr>
        <w:t xml:space="preserve"> par </w:t>
      </w:r>
      <w:r>
        <w:rPr>
          <w:szCs w:val="24"/>
          <w:lang w:val="lv-LV"/>
        </w:rPr>
        <w:t xml:space="preserve">citu likviditātes nodrošinātāju un </w:t>
      </w:r>
      <w:r w:rsidR="009C1561" w:rsidRPr="003C4DC8">
        <w:rPr>
          <w:szCs w:val="24"/>
          <w:lang w:val="lv-LV"/>
        </w:rPr>
        <w:t>izpildes vietu RTS</w:t>
      </w:r>
      <w:r w:rsidR="00523627">
        <w:rPr>
          <w:szCs w:val="24"/>
          <w:lang w:val="lv-LV"/>
        </w:rPr>
        <w:t> </w:t>
      </w:r>
      <w:r w:rsidR="009C1561" w:rsidRPr="003C4DC8">
        <w:rPr>
          <w:szCs w:val="24"/>
          <w:lang w:val="lv-LV"/>
        </w:rPr>
        <w:t>28 izpratnē</w:t>
      </w:r>
      <w:r w:rsidR="00E25A01">
        <w:rPr>
          <w:szCs w:val="24"/>
          <w:lang w:val="lv-LV"/>
        </w:rPr>
        <w:t xml:space="preserve"> (</w:t>
      </w:r>
      <w:r w:rsidR="009C10F6">
        <w:rPr>
          <w:szCs w:val="24"/>
          <w:lang w:val="lv-LV"/>
        </w:rPr>
        <w:t>Q&amp;A 1. sadaļ</w:t>
      </w:r>
      <w:r w:rsidR="00E25A01">
        <w:rPr>
          <w:szCs w:val="24"/>
          <w:lang w:val="lv-LV"/>
        </w:rPr>
        <w:t>a</w:t>
      </w:r>
      <w:r w:rsidR="009C10F6" w:rsidRPr="009C10F6">
        <w:rPr>
          <w:szCs w:val="24"/>
          <w:lang w:val="lv-LV"/>
        </w:rPr>
        <w:t xml:space="preserve"> </w:t>
      </w:r>
      <w:r w:rsidR="00523627">
        <w:rPr>
          <w:szCs w:val="24"/>
          <w:lang w:val="lv-LV"/>
        </w:rPr>
        <w:t>"</w:t>
      </w:r>
      <w:r w:rsidR="009C10F6" w:rsidRPr="00364FD5">
        <w:rPr>
          <w:i/>
          <w:szCs w:val="24"/>
          <w:lang w:val="lv-LV"/>
        </w:rPr>
        <w:t>Best execution</w:t>
      </w:r>
      <w:r w:rsidR="00523627">
        <w:rPr>
          <w:szCs w:val="24"/>
          <w:lang w:val="lv-LV"/>
        </w:rPr>
        <w:t>"</w:t>
      </w:r>
      <w:r w:rsidR="009C10F6" w:rsidRPr="009C10F6">
        <w:rPr>
          <w:szCs w:val="24"/>
          <w:lang w:val="lv-LV"/>
        </w:rPr>
        <w:t xml:space="preserve">, </w:t>
      </w:r>
      <w:r w:rsidR="009C10F6">
        <w:rPr>
          <w:szCs w:val="24"/>
          <w:lang w:val="lv-LV"/>
        </w:rPr>
        <w:t>18</w:t>
      </w:r>
      <w:r w:rsidR="009C10F6" w:rsidRPr="009C10F6">
        <w:rPr>
          <w:szCs w:val="24"/>
          <w:lang w:val="lv-LV"/>
        </w:rPr>
        <w:t xml:space="preserve">. </w:t>
      </w:r>
      <w:r w:rsidR="00E25A01">
        <w:rPr>
          <w:szCs w:val="24"/>
          <w:lang w:val="lv-LV"/>
        </w:rPr>
        <w:t>j</w:t>
      </w:r>
      <w:r w:rsidR="009C10F6" w:rsidRPr="009C10F6">
        <w:rPr>
          <w:szCs w:val="24"/>
          <w:lang w:val="lv-LV"/>
        </w:rPr>
        <w:t>autājums</w:t>
      </w:r>
      <w:r w:rsidR="00E25A01">
        <w:rPr>
          <w:szCs w:val="24"/>
          <w:lang w:val="lv-LV"/>
        </w:rPr>
        <w:t>).</w:t>
      </w:r>
      <w:r w:rsidR="005D276F">
        <w:rPr>
          <w:szCs w:val="24"/>
          <w:lang w:val="lv-LV"/>
        </w:rPr>
        <w:t xml:space="preserve"> </w:t>
      </w:r>
    </w:p>
    <w:p w:rsidR="002E2A30" w:rsidRDefault="002E2A30" w:rsidP="005532C7">
      <w:pPr>
        <w:spacing w:after="200" w:line="240" w:lineRule="auto"/>
        <w:jc w:val="both"/>
        <w:rPr>
          <w:szCs w:val="24"/>
          <w:lang w:val="lv-LV"/>
        </w:rPr>
      </w:pPr>
      <w:r>
        <w:rPr>
          <w:szCs w:val="24"/>
          <w:lang w:val="lv-LV"/>
        </w:rPr>
        <w:t xml:space="preserve">Ja </w:t>
      </w:r>
      <w:r w:rsidRPr="00364FD5">
        <w:rPr>
          <w:i/>
          <w:szCs w:val="24"/>
          <w:lang w:val="lv-LV"/>
        </w:rPr>
        <w:t xml:space="preserve">Kontrahents </w:t>
      </w:r>
      <w:r w:rsidR="001F3614">
        <w:rPr>
          <w:i/>
          <w:szCs w:val="24"/>
          <w:lang w:val="lv-LV"/>
        </w:rPr>
        <w:t>D</w:t>
      </w:r>
      <w:r>
        <w:rPr>
          <w:szCs w:val="24"/>
          <w:lang w:val="lv-LV"/>
        </w:rPr>
        <w:t xml:space="preserve"> ir ārvalsts (trešās valsts) sabiedrība, </w:t>
      </w:r>
      <w:r w:rsidR="005164D1">
        <w:rPr>
          <w:szCs w:val="24"/>
          <w:lang w:val="lv-LV"/>
        </w:rPr>
        <w:t>nevis Eiropas Ekonomik</w:t>
      </w:r>
      <w:r w:rsidR="00523627">
        <w:rPr>
          <w:szCs w:val="24"/>
          <w:lang w:val="lv-LV"/>
        </w:rPr>
        <w:t>a</w:t>
      </w:r>
      <w:r w:rsidR="005164D1">
        <w:rPr>
          <w:szCs w:val="24"/>
          <w:lang w:val="lv-LV"/>
        </w:rPr>
        <w:t xml:space="preserve">s zonas sabiedrība, </w:t>
      </w:r>
      <w:r w:rsidR="00EA7485">
        <w:rPr>
          <w:szCs w:val="24"/>
          <w:lang w:val="lv-LV"/>
        </w:rPr>
        <w:t>bet</w:t>
      </w:r>
      <w:r w:rsidR="00923935">
        <w:rPr>
          <w:i/>
          <w:szCs w:val="24"/>
          <w:lang w:val="lv-LV"/>
        </w:rPr>
        <w:t xml:space="preserve"> </w:t>
      </w:r>
      <w:r w:rsidR="00923935">
        <w:rPr>
          <w:szCs w:val="24"/>
          <w:lang w:val="lv-LV"/>
        </w:rPr>
        <w:t xml:space="preserve">veic funkcijas, kas </w:t>
      </w:r>
      <w:r w:rsidR="00923935" w:rsidRPr="002E2A30">
        <w:rPr>
          <w:szCs w:val="24"/>
          <w:lang w:val="lv-LV"/>
        </w:rPr>
        <w:t xml:space="preserve">pielīdzināmas </w:t>
      </w:r>
      <w:r w:rsidR="00923935">
        <w:rPr>
          <w:szCs w:val="24"/>
          <w:lang w:val="lv-LV"/>
        </w:rPr>
        <w:t xml:space="preserve">cita likviditātes nodrošinātāja funkcijām, </w:t>
      </w:r>
      <w:r w:rsidR="001D1DDB">
        <w:rPr>
          <w:szCs w:val="24"/>
          <w:lang w:val="lv-LV"/>
        </w:rPr>
        <w:t>tad</w:t>
      </w:r>
      <w:r w:rsidR="00923935">
        <w:rPr>
          <w:szCs w:val="24"/>
          <w:lang w:val="lv-LV"/>
        </w:rPr>
        <w:t xml:space="preserve"> šajā </w:t>
      </w:r>
      <w:r w:rsidR="00EA7485">
        <w:rPr>
          <w:szCs w:val="24"/>
          <w:lang w:val="lv-LV"/>
        </w:rPr>
        <w:t>gadījumā</w:t>
      </w:r>
      <w:r w:rsidR="00EA7485" w:rsidRPr="00EA7485">
        <w:rPr>
          <w:i/>
          <w:szCs w:val="24"/>
          <w:lang w:val="lv-LV"/>
        </w:rPr>
        <w:t xml:space="preserve"> </w:t>
      </w:r>
      <w:r w:rsidR="00EA7485" w:rsidRPr="00364FD5">
        <w:rPr>
          <w:i/>
          <w:szCs w:val="24"/>
          <w:lang w:val="lv-LV"/>
        </w:rPr>
        <w:t xml:space="preserve">Kontrahents </w:t>
      </w:r>
      <w:r w:rsidR="00EA7485">
        <w:rPr>
          <w:i/>
          <w:szCs w:val="24"/>
          <w:lang w:val="lv-LV"/>
        </w:rPr>
        <w:t>D</w:t>
      </w:r>
      <w:r w:rsidR="009B257A">
        <w:rPr>
          <w:szCs w:val="24"/>
          <w:lang w:val="lv-LV"/>
        </w:rPr>
        <w:t xml:space="preserve"> </w:t>
      </w:r>
      <w:r>
        <w:rPr>
          <w:szCs w:val="24"/>
          <w:lang w:val="lv-LV"/>
        </w:rPr>
        <w:t xml:space="preserve">varētu </w:t>
      </w:r>
      <w:r w:rsidR="009B257A">
        <w:rPr>
          <w:szCs w:val="24"/>
          <w:lang w:val="lv-LV"/>
        </w:rPr>
        <w:t xml:space="preserve">tikt </w:t>
      </w:r>
      <w:r w:rsidR="009157B6">
        <w:rPr>
          <w:szCs w:val="24"/>
          <w:lang w:val="lv-LV"/>
        </w:rPr>
        <w:t xml:space="preserve">iekļauts </w:t>
      </w:r>
      <w:r w:rsidR="00523627" w:rsidRPr="00364FD5">
        <w:rPr>
          <w:i/>
          <w:szCs w:val="24"/>
          <w:lang w:val="lv-LV"/>
        </w:rPr>
        <w:t>TOP5</w:t>
      </w:r>
      <w:r w:rsidR="00523627">
        <w:rPr>
          <w:szCs w:val="24"/>
          <w:lang w:val="lv-LV"/>
        </w:rPr>
        <w:t xml:space="preserve"> </w:t>
      </w:r>
      <w:r>
        <w:rPr>
          <w:szCs w:val="24"/>
          <w:lang w:val="lv-LV"/>
        </w:rPr>
        <w:t xml:space="preserve">izpildes vietu sarakstā, </w:t>
      </w:r>
      <w:r w:rsidR="00923935">
        <w:rPr>
          <w:szCs w:val="24"/>
          <w:lang w:val="lv-LV"/>
        </w:rPr>
        <w:t xml:space="preserve">nevis </w:t>
      </w:r>
      <w:r w:rsidR="00523627" w:rsidRPr="00923935">
        <w:rPr>
          <w:i/>
          <w:szCs w:val="24"/>
          <w:lang w:val="lv-LV"/>
        </w:rPr>
        <w:t>TOP5</w:t>
      </w:r>
      <w:r w:rsidR="00523627">
        <w:rPr>
          <w:szCs w:val="24"/>
          <w:lang w:val="lv-LV"/>
        </w:rPr>
        <w:t xml:space="preserve"> </w:t>
      </w:r>
      <w:r w:rsidR="00923935">
        <w:rPr>
          <w:szCs w:val="24"/>
          <w:lang w:val="lv-LV"/>
        </w:rPr>
        <w:t>kontrahentu – brokeru sarakstā</w:t>
      </w:r>
      <w:r w:rsidR="009B257A">
        <w:rPr>
          <w:szCs w:val="24"/>
          <w:lang w:val="lv-LV"/>
        </w:rPr>
        <w:t>.</w:t>
      </w:r>
      <w:r w:rsidR="00183B9D">
        <w:rPr>
          <w:szCs w:val="24"/>
          <w:lang w:val="lv-LV"/>
        </w:rPr>
        <w:t xml:space="preserve"> </w:t>
      </w:r>
    </w:p>
    <w:p w:rsidR="00183B9D" w:rsidRDefault="00183B9D" w:rsidP="005532C7">
      <w:pPr>
        <w:spacing w:after="200" w:line="240" w:lineRule="auto"/>
        <w:jc w:val="both"/>
        <w:rPr>
          <w:szCs w:val="24"/>
          <w:lang w:val="lv-LV"/>
        </w:rPr>
      </w:pPr>
      <w:r>
        <w:rPr>
          <w:szCs w:val="24"/>
          <w:lang w:val="lv-LV"/>
        </w:rPr>
        <w:t xml:space="preserve">Ja </w:t>
      </w:r>
      <w:r w:rsidRPr="00364FD5">
        <w:rPr>
          <w:i/>
          <w:szCs w:val="24"/>
          <w:lang w:val="lv-LV"/>
        </w:rPr>
        <w:t xml:space="preserve">Kontrahents </w:t>
      </w:r>
      <w:r w:rsidR="001F3614">
        <w:rPr>
          <w:i/>
          <w:szCs w:val="24"/>
          <w:lang w:val="lv-LV"/>
        </w:rPr>
        <w:t xml:space="preserve">D </w:t>
      </w:r>
      <w:r>
        <w:rPr>
          <w:szCs w:val="24"/>
          <w:lang w:val="lv-LV"/>
        </w:rPr>
        <w:t>ir uzskatāms par izpildes vietu</w:t>
      </w:r>
      <w:r w:rsidR="00F96BC7">
        <w:rPr>
          <w:szCs w:val="24"/>
          <w:lang w:val="lv-LV"/>
        </w:rPr>
        <w:t xml:space="preserve"> RTS 28 izpratnē</w:t>
      </w:r>
      <w:r>
        <w:rPr>
          <w:szCs w:val="24"/>
          <w:lang w:val="lv-LV"/>
        </w:rPr>
        <w:t xml:space="preserve"> un Bankas klients ir parakstījis līgumu par pieslēgšanos konkrēt</w:t>
      </w:r>
      <w:r w:rsidR="00523627">
        <w:rPr>
          <w:szCs w:val="24"/>
          <w:lang w:val="lv-LV"/>
        </w:rPr>
        <w:t>i</w:t>
      </w:r>
      <w:r>
        <w:rPr>
          <w:szCs w:val="24"/>
          <w:lang w:val="lv-LV"/>
        </w:rPr>
        <w:t xml:space="preserve"> </w:t>
      </w:r>
      <w:r w:rsidRPr="00364FD5">
        <w:rPr>
          <w:i/>
          <w:szCs w:val="24"/>
          <w:lang w:val="lv-LV"/>
        </w:rPr>
        <w:t xml:space="preserve">Kontrahenta </w:t>
      </w:r>
      <w:r w:rsidR="001F3614">
        <w:rPr>
          <w:i/>
          <w:szCs w:val="24"/>
          <w:lang w:val="lv-LV"/>
        </w:rPr>
        <w:t>D</w:t>
      </w:r>
      <w:r>
        <w:rPr>
          <w:szCs w:val="24"/>
          <w:lang w:val="lv-LV"/>
        </w:rPr>
        <w:t xml:space="preserve"> platformai, </w:t>
      </w:r>
      <w:r w:rsidR="003A16C1">
        <w:rPr>
          <w:szCs w:val="24"/>
          <w:lang w:val="lv-LV"/>
        </w:rPr>
        <w:t xml:space="preserve">kurā </w:t>
      </w:r>
      <w:r w:rsidR="00A307E6">
        <w:rPr>
          <w:szCs w:val="24"/>
          <w:lang w:val="lv-LV"/>
        </w:rPr>
        <w:t>tiek</w:t>
      </w:r>
      <w:r w:rsidR="003A16C1">
        <w:rPr>
          <w:szCs w:val="24"/>
          <w:lang w:val="lv-LV"/>
        </w:rPr>
        <w:t xml:space="preserve"> veikti darījumi</w:t>
      </w:r>
      <w:r w:rsidR="00A307E6">
        <w:rPr>
          <w:szCs w:val="24"/>
          <w:lang w:val="lv-LV"/>
        </w:rPr>
        <w:t xml:space="preserve"> ar CFD</w:t>
      </w:r>
      <w:r w:rsidR="003A16C1">
        <w:rPr>
          <w:szCs w:val="24"/>
          <w:lang w:val="lv-LV"/>
        </w:rPr>
        <w:t xml:space="preserve">, </w:t>
      </w:r>
      <w:r>
        <w:rPr>
          <w:szCs w:val="24"/>
          <w:lang w:val="lv-LV"/>
        </w:rPr>
        <w:t xml:space="preserve">tad </w:t>
      </w:r>
      <w:r w:rsidR="003A16C1">
        <w:rPr>
          <w:szCs w:val="24"/>
          <w:lang w:val="lv-LV"/>
        </w:rPr>
        <w:t xml:space="preserve">rīkojumi, kuri izpildīti </w:t>
      </w:r>
      <w:r w:rsidR="003A16C1" w:rsidRPr="00364FD5">
        <w:rPr>
          <w:i/>
          <w:szCs w:val="24"/>
          <w:lang w:val="lv-LV"/>
        </w:rPr>
        <w:t xml:space="preserve">Kontrahenta </w:t>
      </w:r>
      <w:r w:rsidR="001F3614">
        <w:rPr>
          <w:i/>
          <w:szCs w:val="24"/>
          <w:lang w:val="lv-LV"/>
        </w:rPr>
        <w:t>D</w:t>
      </w:r>
      <w:r w:rsidR="003A16C1">
        <w:rPr>
          <w:szCs w:val="24"/>
          <w:lang w:val="lv-LV"/>
        </w:rPr>
        <w:t xml:space="preserve"> platformā, var</w:t>
      </w:r>
      <w:r w:rsidR="00463AA1">
        <w:rPr>
          <w:szCs w:val="24"/>
          <w:lang w:val="lv-LV"/>
        </w:rPr>
        <w:t>ētu</w:t>
      </w:r>
      <w:r w:rsidR="003A16C1">
        <w:rPr>
          <w:szCs w:val="24"/>
          <w:lang w:val="lv-LV"/>
        </w:rPr>
        <w:t xml:space="preserve"> tikt </w:t>
      </w:r>
      <w:r w:rsidR="00A307E6">
        <w:rPr>
          <w:szCs w:val="24"/>
          <w:lang w:val="lv-LV"/>
        </w:rPr>
        <w:t>u</w:t>
      </w:r>
      <w:r w:rsidR="003A16C1">
        <w:rPr>
          <w:szCs w:val="24"/>
          <w:lang w:val="lv-LV"/>
        </w:rPr>
        <w:t>zskatīti par virzītiem rīkojumiem.</w:t>
      </w:r>
    </w:p>
    <w:p w:rsidR="009C1561" w:rsidRPr="003C4DC8" w:rsidRDefault="007D7BD1" w:rsidP="00D06A3C">
      <w:pPr>
        <w:spacing w:after="200" w:line="240" w:lineRule="auto"/>
        <w:jc w:val="both"/>
        <w:rPr>
          <w:b/>
          <w:szCs w:val="24"/>
          <w:lang w:val="lv-LV"/>
        </w:rPr>
      </w:pPr>
      <w:r w:rsidRPr="00D06A3C">
        <w:rPr>
          <w:b/>
          <w:szCs w:val="24"/>
          <w:u w:val="single"/>
          <w:lang w:val="lv-LV"/>
        </w:rPr>
        <w:lastRenderedPageBreak/>
        <w:t>5.</w:t>
      </w:r>
      <w:r w:rsidR="00523627" w:rsidRPr="00D06A3C">
        <w:rPr>
          <w:b/>
          <w:szCs w:val="24"/>
          <w:u w:val="single"/>
          <w:lang w:val="lv-LV"/>
        </w:rPr>
        <w:t xml:space="preserve"> </w:t>
      </w:r>
      <w:r w:rsidRPr="00D06A3C">
        <w:rPr>
          <w:b/>
          <w:szCs w:val="24"/>
          <w:u w:val="single"/>
          <w:lang w:val="lv-LV"/>
        </w:rPr>
        <w:t>jautājums</w:t>
      </w:r>
      <w:r w:rsidR="00523627" w:rsidRPr="00D06A3C">
        <w:rPr>
          <w:b/>
          <w:szCs w:val="24"/>
          <w:u w:val="single"/>
          <w:lang w:val="lv-LV"/>
        </w:rPr>
        <w:t>.</w:t>
      </w:r>
      <w:r w:rsidRPr="003C4DC8">
        <w:rPr>
          <w:b/>
          <w:szCs w:val="24"/>
          <w:lang w:val="lv-LV"/>
        </w:rPr>
        <w:t xml:space="preserve"> </w:t>
      </w:r>
      <w:r w:rsidR="009C1561" w:rsidRPr="003C4DC8">
        <w:rPr>
          <w:b/>
          <w:szCs w:val="24"/>
          <w:lang w:val="lv-LV"/>
        </w:rPr>
        <w:t xml:space="preserve">Vai var uzskatīt, ka visi rīkojumi </w:t>
      </w:r>
      <w:r w:rsidR="0098239C">
        <w:rPr>
          <w:b/>
          <w:szCs w:val="24"/>
          <w:lang w:val="lv-LV"/>
        </w:rPr>
        <w:t xml:space="preserve">darījumiem </w:t>
      </w:r>
      <w:r w:rsidR="009C1561" w:rsidRPr="003C4DC8">
        <w:rPr>
          <w:b/>
          <w:szCs w:val="24"/>
          <w:lang w:val="lv-LV"/>
        </w:rPr>
        <w:t>ar nākotnes līgumiem (</w:t>
      </w:r>
      <w:r w:rsidR="009C1561" w:rsidRPr="003C4DC8">
        <w:rPr>
          <w:b/>
          <w:i/>
          <w:szCs w:val="24"/>
          <w:lang w:val="lv-LV"/>
        </w:rPr>
        <w:t>futures</w:t>
      </w:r>
      <w:r w:rsidR="009C1561" w:rsidRPr="003C4DC8">
        <w:rPr>
          <w:b/>
          <w:szCs w:val="24"/>
          <w:lang w:val="lv-LV"/>
        </w:rPr>
        <w:t>) ir virzītie rīkojumi, jo konkrēts nākotnes līgums tiek tirgots un var tikt izpildīts tikai konkrētajā tirdzniecības vietā?</w:t>
      </w:r>
    </w:p>
    <w:p w:rsidR="009C1561" w:rsidRDefault="00523627" w:rsidP="005532C7">
      <w:pPr>
        <w:spacing w:after="200" w:line="240" w:lineRule="auto"/>
        <w:jc w:val="both"/>
        <w:rPr>
          <w:szCs w:val="24"/>
          <w:lang w:val="lv-LV"/>
        </w:rPr>
      </w:pPr>
      <w:r w:rsidRPr="00D06A3C">
        <w:rPr>
          <w:b/>
          <w:szCs w:val="24"/>
          <w:u w:val="single"/>
          <w:lang w:val="lv-LV"/>
        </w:rPr>
        <w:t>Atbilde.</w:t>
      </w:r>
      <w:r>
        <w:rPr>
          <w:szCs w:val="24"/>
          <w:lang w:val="lv-LV"/>
        </w:rPr>
        <w:t xml:space="preserve"> </w:t>
      </w:r>
      <w:r w:rsidR="007D7BD1" w:rsidRPr="003C4DC8">
        <w:rPr>
          <w:szCs w:val="24"/>
          <w:lang w:val="lv-LV"/>
        </w:rPr>
        <w:t>J</w:t>
      </w:r>
      <w:r w:rsidR="009C1561" w:rsidRPr="003C4DC8">
        <w:rPr>
          <w:szCs w:val="24"/>
          <w:lang w:val="lv-LV"/>
        </w:rPr>
        <w:t xml:space="preserve">a klients nenorāda, ka vēlas izpildīt rīkojumu konkrētajā izpildes vietā, tad </w:t>
      </w:r>
      <w:r w:rsidR="007D7BD1" w:rsidRPr="003C4DC8">
        <w:rPr>
          <w:szCs w:val="24"/>
          <w:lang w:val="lv-LV"/>
        </w:rPr>
        <w:t>šādu rīkojumu</w:t>
      </w:r>
      <w:r w:rsidR="009C1561" w:rsidRPr="003C4DC8">
        <w:rPr>
          <w:szCs w:val="24"/>
          <w:lang w:val="lv-LV"/>
        </w:rPr>
        <w:t xml:space="preserve"> </w:t>
      </w:r>
      <w:r w:rsidR="00F61661">
        <w:rPr>
          <w:szCs w:val="24"/>
          <w:lang w:val="lv-LV"/>
        </w:rPr>
        <w:t xml:space="preserve">automātiski </w:t>
      </w:r>
      <w:r w:rsidR="009C1561" w:rsidRPr="003C4DC8">
        <w:rPr>
          <w:szCs w:val="24"/>
          <w:lang w:val="lv-LV"/>
        </w:rPr>
        <w:t>nevar uzskatīt par virzīt</w:t>
      </w:r>
      <w:r w:rsidR="007D7BD1" w:rsidRPr="003C4DC8">
        <w:rPr>
          <w:szCs w:val="24"/>
          <w:lang w:val="lv-LV"/>
        </w:rPr>
        <w:t>u</w:t>
      </w:r>
      <w:r w:rsidR="009C1561" w:rsidRPr="003C4DC8">
        <w:rPr>
          <w:szCs w:val="24"/>
          <w:lang w:val="lv-LV"/>
        </w:rPr>
        <w:t xml:space="preserve"> rīkojum</w:t>
      </w:r>
      <w:r w:rsidR="007D7BD1" w:rsidRPr="003C4DC8">
        <w:rPr>
          <w:szCs w:val="24"/>
          <w:lang w:val="lv-LV"/>
        </w:rPr>
        <w:t>u (</w:t>
      </w:r>
      <w:r w:rsidR="007D7BD1" w:rsidRPr="003C4DC8">
        <w:rPr>
          <w:i/>
          <w:szCs w:val="24"/>
          <w:lang w:val="lv-LV"/>
        </w:rPr>
        <w:t>directed order</w:t>
      </w:r>
      <w:r w:rsidR="007D7BD1" w:rsidRPr="003C4DC8">
        <w:rPr>
          <w:szCs w:val="24"/>
          <w:lang w:val="lv-LV"/>
        </w:rPr>
        <w:t>)</w:t>
      </w:r>
      <w:r w:rsidR="009C1561" w:rsidRPr="003C4DC8">
        <w:rPr>
          <w:szCs w:val="24"/>
          <w:lang w:val="lv-LV"/>
        </w:rPr>
        <w:t xml:space="preserve">. </w:t>
      </w:r>
      <w:r w:rsidR="00F61661">
        <w:rPr>
          <w:szCs w:val="24"/>
          <w:lang w:val="lv-LV"/>
        </w:rPr>
        <w:t>Turklāt virzīt</w:t>
      </w:r>
      <w:r w:rsidR="0098239C">
        <w:rPr>
          <w:szCs w:val="24"/>
          <w:lang w:val="lv-LV"/>
        </w:rPr>
        <w:t>u</w:t>
      </w:r>
      <w:r w:rsidR="00F61661">
        <w:rPr>
          <w:szCs w:val="24"/>
          <w:lang w:val="lv-LV"/>
        </w:rPr>
        <w:t xml:space="preserve"> rīkojum</w:t>
      </w:r>
      <w:r w:rsidR="0098239C">
        <w:rPr>
          <w:szCs w:val="24"/>
          <w:lang w:val="lv-LV"/>
        </w:rPr>
        <w:t>u jēdziens</w:t>
      </w:r>
      <w:r w:rsidR="00F61661">
        <w:rPr>
          <w:szCs w:val="24"/>
          <w:lang w:val="lv-LV"/>
        </w:rPr>
        <w:t xml:space="preserve"> attiecinām</w:t>
      </w:r>
      <w:r w:rsidR="0098239C">
        <w:rPr>
          <w:szCs w:val="24"/>
          <w:lang w:val="lv-LV"/>
        </w:rPr>
        <w:t>s</w:t>
      </w:r>
      <w:r w:rsidR="00F61661">
        <w:rPr>
          <w:szCs w:val="24"/>
          <w:lang w:val="lv-LV"/>
        </w:rPr>
        <w:t xml:space="preserve"> uz izpildes vietās izpildītiem rīkojumiem.</w:t>
      </w:r>
    </w:p>
    <w:p w:rsidR="003A16C1" w:rsidRPr="003C4DC8" w:rsidRDefault="003A16C1" w:rsidP="005532C7">
      <w:pPr>
        <w:spacing w:after="200" w:line="240" w:lineRule="auto"/>
        <w:jc w:val="both"/>
        <w:rPr>
          <w:szCs w:val="24"/>
          <w:lang w:val="lv-LV"/>
        </w:rPr>
      </w:pPr>
      <w:r>
        <w:rPr>
          <w:szCs w:val="24"/>
          <w:lang w:val="lv-LV"/>
        </w:rPr>
        <w:t xml:space="preserve">Ja bankai vai ieguldījumu brokeru sabiedrībai kā biedram vai dalībniekam nav tiešas pieejas konkrētajai tirdzniecības vietai, kurā tiek tirgoti minētie nākotnes līgumi, bet tā nodod klienta rīkojumus </w:t>
      </w:r>
      <w:r w:rsidR="0098239C">
        <w:rPr>
          <w:szCs w:val="24"/>
          <w:lang w:val="lv-LV"/>
        </w:rPr>
        <w:t xml:space="preserve">darījumiem </w:t>
      </w:r>
      <w:r>
        <w:rPr>
          <w:szCs w:val="24"/>
          <w:lang w:val="lv-LV"/>
        </w:rPr>
        <w:t xml:space="preserve">ar nākotnes līgumiem izpildei kontrahentam, kas tos novirza uz konkrēto tirdzniecības vietu, tad šādi rīkojumi nav uzskatāmi par virzītiem rīkojumiem. Savukārt kontrahents, kuram tika nodoti izpildei rīkojumi </w:t>
      </w:r>
      <w:r w:rsidR="0098239C">
        <w:rPr>
          <w:szCs w:val="24"/>
          <w:lang w:val="lv-LV"/>
        </w:rPr>
        <w:t xml:space="preserve">darījumiem </w:t>
      </w:r>
      <w:r>
        <w:rPr>
          <w:szCs w:val="24"/>
          <w:lang w:val="lv-LV"/>
        </w:rPr>
        <w:t xml:space="preserve">ar nākotnes līgumiem, būtu jāatspoguļo </w:t>
      </w:r>
      <w:r w:rsidR="0098239C" w:rsidRPr="00364FD5">
        <w:rPr>
          <w:i/>
          <w:szCs w:val="24"/>
          <w:lang w:val="lv-LV"/>
        </w:rPr>
        <w:t>TOP5</w:t>
      </w:r>
      <w:r w:rsidR="0098239C">
        <w:rPr>
          <w:szCs w:val="24"/>
          <w:lang w:val="lv-LV"/>
        </w:rPr>
        <w:t xml:space="preserve"> </w:t>
      </w:r>
      <w:r w:rsidRPr="003C4DC8">
        <w:rPr>
          <w:szCs w:val="24"/>
          <w:lang w:val="lv-LV"/>
        </w:rPr>
        <w:t>kontrahent</w:t>
      </w:r>
      <w:r>
        <w:rPr>
          <w:szCs w:val="24"/>
          <w:lang w:val="lv-LV"/>
        </w:rPr>
        <w:t>u</w:t>
      </w:r>
      <w:r w:rsidRPr="003C4DC8">
        <w:rPr>
          <w:szCs w:val="24"/>
          <w:lang w:val="lv-LV"/>
        </w:rPr>
        <w:t xml:space="preserve"> – broker</w:t>
      </w:r>
      <w:r>
        <w:rPr>
          <w:szCs w:val="24"/>
          <w:lang w:val="lv-LV"/>
        </w:rPr>
        <w:t>u sarakstā.</w:t>
      </w:r>
    </w:p>
    <w:p w:rsidR="00194852" w:rsidRPr="003C4DC8" w:rsidRDefault="00194852">
      <w:pPr>
        <w:rPr>
          <w:szCs w:val="24"/>
          <w:lang w:val="lv-LV"/>
        </w:rPr>
      </w:pPr>
    </w:p>
    <w:sectPr w:rsidR="00194852" w:rsidRPr="003C4DC8" w:rsidSect="00D06A3C">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512" w:rsidRDefault="009B0512" w:rsidP="009157B6">
      <w:pPr>
        <w:spacing w:after="0" w:line="240" w:lineRule="auto"/>
      </w:pPr>
      <w:r>
        <w:separator/>
      </w:r>
    </w:p>
  </w:endnote>
  <w:endnote w:type="continuationSeparator" w:id="0">
    <w:p w:rsidR="009B0512" w:rsidRDefault="009B0512" w:rsidP="0091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512" w:rsidRDefault="009B0512" w:rsidP="009157B6">
      <w:pPr>
        <w:spacing w:after="0" w:line="240" w:lineRule="auto"/>
      </w:pPr>
      <w:r>
        <w:separator/>
      </w:r>
    </w:p>
  </w:footnote>
  <w:footnote w:type="continuationSeparator" w:id="0">
    <w:p w:rsidR="009B0512" w:rsidRDefault="009B0512" w:rsidP="00915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978238"/>
      <w:docPartObj>
        <w:docPartGallery w:val="Page Numbers (Top of Page)"/>
        <w:docPartUnique/>
      </w:docPartObj>
    </w:sdtPr>
    <w:sdtEndPr>
      <w:rPr>
        <w:noProof/>
      </w:rPr>
    </w:sdtEndPr>
    <w:sdtContent>
      <w:p w:rsidR="009157B6" w:rsidRDefault="009157B6">
        <w:pPr>
          <w:pStyle w:val="Header"/>
          <w:jc w:val="right"/>
        </w:pPr>
        <w:r>
          <w:fldChar w:fldCharType="begin"/>
        </w:r>
        <w:r>
          <w:instrText xml:space="preserve"> PAGE   \* MERGEFORMAT </w:instrText>
        </w:r>
        <w:r>
          <w:fldChar w:fldCharType="separate"/>
        </w:r>
        <w:r w:rsidR="00D06A3C">
          <w:rPr>
            <w:noProof/>
          </w:rPr>
          <w:t>4</w:t>
        </w:r>
        <w:r>
          <w:rPr>
            <w:noProof/>
          </w:rPr>
          <w:fldChar w:fldCharType="end"/>
        </w:r>
      </w:p>
    </w:sdtContent>
  </w:sdt>
  <w:p w:rsidR="009157B6" w:rsidRDefault="00915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710F"/>
    <w:multiLevelType w:val="hybridMultilevel"/>
    <w:tmpl w:val="F3C461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56F67"/>
    <w:multiLevelType w:val="hybridMultilevel"/>
    <w:tmpl w:val="163A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0220A"/>
    <w:multiLevelType w:val="hybridMultilevel"/>
    <w:tmpl w:val="59F8F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31953"/>
    <w:multiLevelType w:val="hybridMultilevel"/>
    <w:tmpl w:val="B14899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212FF0"/>
    <w:multiLevelType w:val="hybridMultilevel"/>
    <w:tmpl w:val="7ED08C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9902F7"/>
    <w:multiLevelType w:val="hybridMultilevel"/>
    <w:tmpl w:val="5ABE929C"/>
    <w:lvl w:ilvl="0" w:tplc="D7C89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561"/>
    <w:rsid w:val="0004029A"/>
    <w:rsid w:val="0007383F"/>
    <w:rsid w:val="000767D3"/>
    <w:rsid w:val="000A6ADD"/>
    <w:rsid w:val="0013581F"/>
    <w:rsid w:val="00183B9D"/>
    <w:rsid w:val="00194852"/>
    <w:rsid w:val="001D1DDB"/>
    <w:rsid w:val="001F3614"/>
    <w:rsid w:val="0027513D"/>
    <w:rsid w:val="002E2A30"/>
    <w:rsid w:val="00364FD5"/>
    <w:rsid w:val="00376A9B"/>
    <w:rsid w:val="00397588"/>
    <w:rsid w:val="003A16C1"/>
    <w:rsid w:val="003C4DC8"/>
    <w:rsid w:val="003F1547"/>
    <w:rsid w:val="003F2ED3"/>
    <w:rsid w:val="00402C1A"/>
    <w:rsid w:val="004525A5"/>
    <w:rsid w:val="00463AA1"/>
    <w:rsid w:val="004F55E9"/>
    <w:rsid w:val="005164D1"/>
    <w:rsid w:val="00522880"/>
    <w:rsid w:val="00523627"/>
    <w:rsid w:val="005532C7"/>
    <w:rsid w:val="005D276F"/>
    <w:rsid w:val="005E4662"/>
    <w:rsid w:val="00631FC6"/>
    <w:rsid w:val="00684133"/>
    <w:rsid w:val="006A5543"/>
    <w:rsid w:val="00733994"/>
    <w:rsid w:val="007D1466"/>
    <w:rsid w:val="007D7BD1"/>
    <w:rsid w:val="00801ACA"/>
    <w:rsid w:val="008301F1"/>
    <w:rsid w:val="00860A30"/>
    <w:rsid w:val="008D1A3E"/>
    <w:rsid w:val="008D1AC5"/>
    <w:rsid w:val="009157B6"/>
    <w:rsid w:val="00921A8E"/>
    <w:rsid w:val="00923935"/>
    <w:rsid w:val="00941F36"/>
    <w:rsid w:val="009663F3"/>
    <w:rsid w:val="0098238C"/>
    <w:rsid w:val="0098239C"/>
    <w:rsid w:val="00982931"/>
    <w:rsid w:val="009B0512"/>
    <w:rsid w:val="009B257A"/>
    <w:rsid w:val="009B72C8"/>
    <w:rsid w:val="009C10F6"/>
    <w:rsid w:val="009C1561"/>
    <w:rsid w:val="009E7D84"/>
    <w:rsid w:val="00A00605"/>
    <w:rsid w:val="00A2540D"/>
    <w:rsid w:val="00A307E6"/>
    <w:rsid w:val="00A4715D"/>
    <w:rsid w:val="00A5021A"/>
    <w:rsid w:val="00B75F1C"/>
    <w:rsid w:val="00BE0EDB"/>
    <w:rsid w:val="00BF17C0"/>
    <w:rsid w:val="00C51FB9"/>
    <w:rsid w:val="00CA6B8D"/>
    <w:rsid w:val="00CE3EDD"/>
    <w:rsid w:val="00D06A3C"/>
    <w:rsid w:val="00D11D8F"/>
    <w:rsid w:val="00D31D68"/>
    <w:rsid w:val="00E16A99"/>
    <w:rsid w:val="00E25A01"/>
    <w:rsid w:val="00E26BC4"/>
    <w:rsid w:val="00E34656"/>
    <w:rsid w:val="00E51E2A"/>
    <w:rsid w:val="00E652E9"/>
    <w:rsid w:val="00EA7485"/>
    <w:rsid w:val="00EE0166"/>
    <w:rsid w:val="00EE045B"/>
    <w:rsid w:val="00F043D2"/>
    <w:rsid w:val="00F30B9C"/>
    <w:rsid w:val="00F61661"/>
    <w:rsid w:val="00F74035"/>
    <w:rsid w:val="00F96BC7"/>
    <w:rsid w:val="00FA4D70"/>
    <w:rsid w:val="00FD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88A65-BA41-074F-8924-487633FE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561"/>
    <w:pPr>
      <w:spacing w:after="160" w:line="259" w:lineRule="auto"/>
    </w:pPr>
    <w:rPr>
      <w:rFonts w:ascii="Times New Roman" w:hAnsi="Times New Roman"/>
      <w:sz w:val="24"/>
      <w:lang w:val="ru-RU"/>
    </w:rPr>
  </w:style>
  <w:style w:type="paragraph" w:styleId="Heading1">
    <w:name w:val="heading 1"/>
    <w:basedOn w:val="Normal"/>
    <w:link w:val="Heading1Char"/>
    <w:autoRedefine/>
    <w:uiPriority w:val="99"/>
    <w:qFormat/>
    <w:rsid w:val="00397588"/>
    <w:pPr>
      <w:keepNext/>
      <w:keepLines/>
      <w:spacing w:after="0" w:line="240" w:lineRule="auto"/>
      <w:jc w:val="both"/>
      <w:outlineLvl w:val="0"/>
    </w:pPr>
    <w:rPr>
      <w:rFonts w:eastAsia="Times New Roman" w:cs="Times New Roman"/>
      <w:b/>
      <w:kern w:val="28"/>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561"/>
    <w:pPr>
      <w:spacing w:after="0" w:line="240" w:lineRule="auto"/>
      <w:ind w:left="720"/>
      <w:contextualSpacing/>
      <w:jc w:val="both"/>
    </w:pPr>
    <w:rPr>
      <w:rFonts w:eastAsia="Times New Roman" w:cs="Times New Roman"/>
      <w:szCs w:val="20"/>
      <w:lang w:val="lv-LV"/>
    </w:rPr>
  </w:style>
  <w:style w:type="character" w:customStyle="1" w:styleId="Heading1Char">
    <w:name w:val="Heading 1 Char"/>
    <w:basedOn w:val="DefaultParagraphFont"/>
    <w:link w:val="Heading1"/>
    <w:uiPriority w:val="99"/>
    <w:rsid w:val="00397588"/>
    <w:rPr>
      <w:rFonts w:ascii="Times New Roman" w:eastAsia="Times New Roman" w:hAnsi="Times New Roman" w:cs="Times New Roman"/>
      <w:b/>
      <w:kern w:val="28"/>
      <w:sz w:val="32"/>
      <w:szCs w:val="20"/>
      <w:lang w:val="lv-LV"/>
    </w:rPr>
  </w:style>
  <w:style w:type="character" w:styleId="CommentReference">
    <w:name w:val="annotation reference"/>
    <w:basedOn w:val="DefaultParagraphFont"/>
    <w:uiPriority w:val="99"/>
    <w:semiHidden/>
    <w:unhideWhenUsed/>
    <w:rsid w:val="00EE045B"/>
    <w:rPr>
      <w:sz w:val="16"/>
      <w:szCs w:val="16"/>
    </w:rPr>
  </w:style>
  <w:style w:type="paragraph" w:styleId="CommentText">
    <w:name w:val="annotation text"/>
    <w:basedOn w:val="Normal"/>
    <w:link w:val="CommentTextChar"/>
    <w:uiPriority w:val="99"/>
    <w:semiHidden/>
    <w:unhideWhenUsed/>
    <w:rsid w:val="00EE045B"/>
    <w:pPr>
      <w:spacing w:line="240" w:lineRule="auto"/>
    </w:pPr>
    <w:rPr>
      <w:sz w:val="20"/>
      <w:szCs w:val="20"/>
    </w:rPr>
  </w:style>
  <w:style w:type="character" w:customStyle="1" w:styleId="CommentTextChar">
    <w:name w:val="Comment Text Char"/>
    <w:basedOn w:val="DefaultParagraphFont"/>
    <w:link w:val="CommentText"/>
    <w:uiPriority w:val="99"/>
    <w:semiHidden/>
    <w:rsid w:val="00EE045B"/>
    <w:rPr>
      <w:rFonts w:ascii="Times New Roman" w:hAnsi="Times New Roman"/>
      <w:sz w:val="20"/>
      <w:szCs w:val="20"/>
      <w:lang w:val="ru-RU"/>
    </w:rPr>
  </w:style>
  <w:style w:type="paragraph" w:styleId="CommentSubject">
    <w:name w:val="annotation subject"/>
    <w:basedOn w:val="CommentText"/>
    <w:next w:val="CommentText"/>
    <w:link w:val="CommentSubjectChar"/>
    <w:uiPriority w:val="99"/>
    <w:semiHidden/>
    <w:unhideWhenUsed/>
    <w:rsid w:val="00EE045B"/>
    <w:rPr>
      <w:b/>
      <w:bCs/>
    </w:rPr>
  </w:style>
  <w:style w:type="character" w:customStyle="1" w:styleId="CommentSubjectChar">
    <w:name w:val="Comment Subject Char"/>
    <w:basedOn w:val="CommentTextChar"/>
    <w:link w:val="CommentSubject"/>
    <w:uiPriority w:val="99"/>
    <w:semiHidden/>
    <w:rsid w:val="00EE045B"/>
    <w:rPr>
      <w:rFonts w:ascii="Times New Roman" w:hAnsi="Times New Roman"/>
      <w:b/>
      <w:bCs/>
      <w:sz w:val="20"/>
      <w:szCs w:val="20"/>
      <w:lang w:val="ru-RU"/>
    </w:rPr>
  </w:style>
  <w:style w:type="paragraph" w:styleId="BalloonText">
    <w:name w:val="Balloon Text"/>
    <w:basedOn w:val="Normal"/>
    <w:link w:val="BalloonTextChar"/>
    <w:uiPriority w:val="99"/>
    <w:semiHidden/>
    <w:unhideWhenUsed/>
    <w:rsid w:val="00EE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45B"/>
    <w:rPr>
      <w:rFonts w:ascii="Tahoma" w:hAnsi="Tahoma" w:cs="Tahoma"/>
      <w:sz w:val="16"/>
      <w:szCs w:val="16"/>
      <w:lang w:val="ru-RU"/>
    </w:rPr>
  </w:style>
  <w:style w:type="paragraph" w:styleId="Header">
    <w:name w:val="header"/>
    <w:basedOn w:val="Normal"/>
    <w:link w:val="HeaderChar"/>
    <w:uiPriority w:val="99"/>
    <w:unhideWhenUsed/>
    <w:rsid w:val="00915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7B6"/>
    <w:rPr>
      <w:rFonts w:ascii="Times New Roman" w:hAnsi="Times New Roman"/>
      <w:sz w:val="24"/>
      <w:lang w:val="ru-RU"/>
    </w:rPr>
  </w:style>
  <w:style w:type="paragraph" w:styleId="Footer">
    <w:name w:val="footer"/>
    <w:basedOn w:val="Normal"/>
    <w:link w:val="FooterChar"/>
    <w:uiPriority w:val="99"/>
    <w:unhideWhenUsed/>
    <w:rsid w:val="00915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7B6"/>
    <w:rPr>
      <w:rFonts w:ascii="Times New Roman" w:hAnsi="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Edmunds Rudzītis</dc:creator>
  <cp:lastModifiedBy>Microsoft Office User</cp:lastModifiedBy>
  <cp:revision>2</cp:revision>
  <dcterms:created xsi:type="dcterms:W3CDTF">2019-04-17T08:48:00Z</dcterms:created>
  <dcterms:modified xsi:type="dcterms:W3CDTF">2019-04-17T08:48:00Z</dcterms:modified>
</cp:coreProperties>
</file>