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9B" w:rsidRPr="00203060" w:rsidRDefault="00EA38FF" w:rsidP="00366D9B">
      <w:pPr>
        <w:shd w:val="clear" w:color="auto" w:fill="FFFFFF"/>
        <w:spacing w:before="240" w:after="120" w:line="240" w:lineRule="auto"/>
        <w:jc w:val="center"/>
        <w:rPr>
          <w:rFonts w:ascii="Times New Roman" w:eastAsia="Times New Roman" w:hAnsi="Times New Roman" w:cs="Times New Roman"/>
          <w:b/>
          <w:bCs/>
          <w:color w:val="000000"/>
          <w:sz w:val="20"/>
          <w:szCs w:val="20"/>
          <w:lang w:val="lv-LV"/>
        </w:rPr>
      </w:pPr>
      <w:r w:rsidRPr="00EA38FF">
        <w:rPr>
          <w:rFonts w:ascii="Times New Roman" w:eastAsia="Times New Roman" w:hAnsi="Times New Roman" w:cs="Times New Roman"/>
          <w:b/>
          <w:bCs/>
          <w:color w:val="000000"/>
          <w:sz w:val="20"/>
          <w:szCs w:val="20"/>
          <w:lang w:val="lv-LV"/>
        </w:rPr>
        <w:t>ANNEX III</w:t>
      </w:r>
    </w:p>
    <w:p w:rsidR="00366D9B" w:rsidRPr="00203060" w:rsidRDefault="00EA38FF" w:rsidP="00366D9B">
      <w:pPr>
        <w:shd w:val="clear" w:color="auto" w:fill="FFFFFF"/>
        <w:spacing w:before="240" w:after="120" w:line="240" w:lineRule="auto"/>
        <w:jc w:val="both"/>
        <w:rPr>
          <w:rFonts w:ascii="Times New Roman" w:eastAsia="Times New Roman" w:hAnsi="Times New Roman" w:cs="Times New Roman"/>
          <w:b/>
          <w:bCs/>
          <w:color w:val="000000"/>
          <w:sz w:val="20"/>
          <w:szCs w:val="20"/>
          <w:lang w:val="lv-LV"/>
        </w:rPr>
      </w:pPr>
      <w:r w:rsidRPr="00EA38FF">
        <w:rPr>
          <w:rFonts w:ascii="Times New Roman" w:eastAsia="Times New Roman" w:hAnsi="Times New Roman" w:cs="Times New Roman"/>
          <w:b/>
          <w:bCs/>
          <w:color w:val="000000"/>
          <w:sz w:val="20"/>
          <w:szCs w:val="20"/>
          <w:lang w:val="lv-LV"/>
        </w:rPr>
        <w:t>TEMPLATE FOR THE DISCLOSURE OF INFORMATION REGARDING THE EXERCISE OF OPTIONS UNDER POINT (D) OF ARTICLE 31(2) OF DIRECTIVE 2009/138/EC</w:t>
      </w:r>
    </w:p>
    <w:tbl>
      <w:tblPr>
        <w:tblW w:w="5253" w:type="pct"/>
        <w:tblCellSpacing w:w="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463"/>
        <w:gridCol w:w="1674"/>
        <w:gridCol w:w="2297"/>
        <w:gridCol w:w="1533"/>
        <w:gridCol w:w="1416"/>
        <w:gridCol w:w="1839"/>
        <w:gridCol w:w="2268"/>
        <w:gridCol w:w="2197"/>
      </w:tblGrid>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Article of Directive 2009/138/EC</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Title of Article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Description of the option</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Use of option YES / 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A329A9">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National legal instrument used L/R/A</w:t>
            </w:r>
            <w:r w:rsidRPr="006047FD">
              <w:rPr>
                <w:rFonts w:ascii="Times New Roman" w:eastAsia="Times New Roman" w:hAnsi="Times New Roman" w:cs="Times New Roman"/>
                <w:b/>
                <w:bCs/>
                <w:color w:val="000000"/>
                <w:sz w:val="20"/>
                <w:szCs w:val="20"/>
                <w:vertAlign w:val="superscript"/>
              </w:rPr>
              <w:t>(1)</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Reference to Article in national law</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Text or link to text of national law</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ind w:right="195"/>
              <w:jc w:val="center"/>
              <w:rPr>
                <w:rFonts w:ascii="Times New Roman" w:eastAsia="Times New Roman" w:hAnsi="Times New Roman" w:cs="Times New Roman"/>
                <w:b/>
                <w:bCs/>
                <w:color w:val="000000"/>
                <w:sz w:val="20"/>
                <w:szCs w:val="20"/>
              </w:rPr>
            </w:pPr>
            <w:r w:rsidRPr="006047FD">
              <w:rPr>
                <w:rFonts w:ascii="Times New Roman" w:eastAsia="Times New Roman" w:hAnsi="Times New Roman" w:cs="Times New Roman"/>
                <w:b/>
                <w:bCs/>
                <w:color w:val="000000"/>
                <w:sz w:val="20"/>
                <w:szCs w:val="20"/>
              </w:rPr>
              <w:t>Text or link to text of national law where available in another language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13(27)</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Definitions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Regarding the definition of large risks option to add to the category of risks classified under classes of non-life insurance 3, 8, 9, 10, 13 and 16 in Part A of Annex I, the risks insured by professional associations, joint ventures or temporary groupings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C26494">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C26494"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15(2), sub-paragraph 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Scope of </w:t>
            </w:r>
            <w:proofErr w:type="spellStart"/>
            <w:r w:rsidRPr="006047FD">
              <w:rPr>
                <w:rFonts w:ascii="Times New Roman" w:hAnsi="Times New Roman" w:cs="Times New Roman"/>
                <w:sz w:val="20"/>
                <w:szCs w:val="20"/>
              </w:rPr>
              <w:t>authorisation</w:t>
            </w:r>
            <w:proofErr w:type="spellEnd"/>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to grant </w:t>
            </w:r>
            <w:proofErr w:type="spellStart"/>
            <w:r w:rsidRPr="006047FD">
              <w:rPr>
                <w:rFonts w:ascii="Times New Roman" w:hAnsi="Times New Roman" w:cs="Times New Roman"/>
                <w:sz w:val="20"/>
                <w:szCs w:val="20"/>
              </w:rPr>
              <w:t>authorisation</w:t>
            </w:r>
            <w:proofErr w:type="spellEnd"/>
            <w:r w:rsidRPr="006047FD">
              <w:rPr>
                <w:rFonts w:ascii="Times New Roman" w:hAnsi="Times New Roman" w:cs="Times New Roman"/>
                <w:sz w:val="20"/>
                <w:szCs w:val="20"/>
              </w:rPr>
              <w:t xml:space="preserve"> for two or more classes of direct insurance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C26494">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N</w:t>
            </w:r>
            <w:r w:rsidR="00C26494" w:rsidRPr="006047FD">
              <w:rPr>
                <w:rFonts w:ascii="Times New Roman" w:eastAsia="Times New Roman" w:hAnsi="Times New Roman" w:cs="Times New Roman"/>
                <w:color w:val="000000"/>
                <w:sz w:val="20"/>
                <w:szCs w:val="20"/>
                <w:lang w:val="lv-LV"/>
              </w:rPr>
              <w:t>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15(3), sub-paragraph 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Scope of </w:t>
            </w:r>
            <w:proofErr w:type="spellStart"/>
            <w:r w:rsidRPr="006047FD">
              <w:rPr>
                <w:rFonts w:ascii="Times New Roman" w:hAnsi="Times New Roman" w:cs="Times New Roman"/>
                <w:sz w:val="20"/>
                <w:szCs w:val="20"/>
              </w:rPr>
              <w:t>authorisation</w:t>
            </w:r>
            <w:proofErr w:type="spellEnd"/>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to grant </w:t>
            </w:r>
            <w:proofErr w:type="spellStart"/>
            <w:r w:rsidRPr="006047FD">
              <w:rPr>
                <w:rFonts w:ascii="Times New Roman" w:hAnsi="Times New Roman" w:cs="Times New Roman"/>
                <w:sz w:val="20"/>
                <w:szCs w:val="20"/>
              </w:rPr>
              <w:t>authorisation</w:t>
            </w:r>
            <w:proofErr w:type="spellEnd"/>
            <w:r w:rsidRPr="006047FD">
              <w:rPr>
                <w:rFonts w:ascii="Times New Roman" w:hAnsi="Times New Roman" w:cs="Times New Roman"/>
                <w:sz w:val="20"/>
                <w:szCs w:val="20"/>
              </w:rPr>
              <w:t xml:space="preserve"> for non-life insurance for groups of classes listed in Part B of Annex I</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C26494">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N</w:t>
            </w:r>
            <w:r w:rsidR="00C26494" w:rsidRPr="006047FD">
              <w:rPr>
                <w:rFonts w:ascii="Times New Roman" w:eastAsia="Times New Roman" w:hAnsi="Times New Roman" w:cs="Times New Roman"/>
                <w:color w:val="000000"/>
                <w:sz w:val="20"/>
                <w:szCs w:val="20"/>
                <w:lang w:val="lv-LV"/>
              </w:rPr>
              <w:t>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17(2)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Legal form of insurance or reinsurance undertaking</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set up undertakings of a form governed by public law provided that such bodies have insurance or reinsurance operations as their object, under conditions equivalent to those under which undertakings governed by private law operate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C26494"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21(1),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Policy conditions and scales of premiums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require in life insurance systematic notification of the technical bases used for calculating scales of premiums and technical provisions for the purpose of verifying compliance with actuarial principles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C26494"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21(3)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Policy conditions and scales of premiums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A38FF"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to subject undertakings seeking or having obtained </w:t>
            </w:r>
            <w:proofErr w:type="spellStart"/>
            <w:r w:rsidRPr="006047FD">
              <w:rPr>
                <w:rFonts w:ascii="Times New Roman" w:hAnsi="Times New Roman" w:cs="Times New Roman"/>
                <w:sz w:val="20"/>
                <w:szCs w:val="20"/>
              </w:rPr>
              <w:t>authorisation</w:t>
            </w:r>
            <w:proofErr w:type="spellEnd"/>
            <w:r w:rsidRPr="006047FD">
              <w:rPr>
                <w:rFonts w:ascii="Times New Roman" w:hAnsi="Times New Roman" w:cs="Times New Roman"/>
                <w:sz w:val="20"/>
                <w:szCs w:val="20"/>
              </w:rPr>
              <w:t xml:space="preserve"> for assistance activity to checks on their resources in staff and equipment</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C26494" w:rsidP="00366D9B">
            <w:pPr>
              <w:spacing w:before="120" w:after="0" w:line="240" w:lineRule="auto"/>
              <w:jc w:val="both"/>
              <w:rPr>
                <w:rFonts w:ascii="Times New Roman" w:eastAsia="Times New Roman" w:hAnsi="Times New Roman" w:cs="Times New Roman"/>
                <w:color w:val="000000"/>
                <w:sz w:val="20"/>
                <w:szCs w:val="20"/>
                <w:lang w:val="lv-LV"/>
              </w:rPr>
            </w:pPr>
            <w:proofErr w:type="spellStart"/>
            <w:r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216F3C"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C26494" w:rsidP="00216F3C">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22 (3)</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366D9B">
            <w:pPr>
              <w:spacing w:before="120" w:after="0" w:line="240" w:lineRule="auto"/>
              <w:jc w:val="both"/>
              <w:rPr>
                <w:rFonts w:ascii="Times New Roman" w:eastAsia="Times New Roman" w:hAnsi="Times New Roman" w:cs="Times New Roman"/>
                <w:color w:val="000000"/>
                <w:sz w:val="20"/>
                <w:szCs w:val="20"/>
                <w:lang w:val="lv-LV"/>
              </w:rPr>
            </w:pPr>
            <w:hyperlink r:id="rId8" w:history="1">
              <w:r w:rsidR="00351718" w:rsidRPr="00351718">
                <w:rPr>
                  <w:rStyle w:val="Hyperlink"/>
                  <w:rFonts w:ascii="Times New Roman" w:hAnsi="Times New Roman" w:cs="Times New Roman"/>
                  <w:sz w:val="20"/>
                  <w:szCs w:val="20"/>
                </w:rPr>
                <w:t>Insurance and Reinsurance Law LV</w:t>
              </w:r>
            </w:hyperlink>
            <w:r w:rsidR="003C54E3">
              <w:rPr>
                <w:rFonts w:ascii="Times New Roman" w:eastAsia="Times New Roman" w:hAnsi="Times New Roman" w:cs="Times New Roman"/>
                <w:color w:val="000000"/>
                <w:sz w:val="20"/>
                <w:szCs w:val="20"/>
                <w:lang w:val="lv-LV"/>
              </w:rPr>
              <w:t xml:space="preserve">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216F3C" w:rsidRPr="00203060">
              <w:rPr>
                <w:rFonts w:ascii="Times New Roman" w:eastAsia="Times New Roman" w:hAnsi="Times New Roman" w:cs="Times New Roman"/>
                <w:color w:val="000000"/>
                <w:sz w:val="20"/>
                <w:szCs w:val="20"/>
              </w:rPr>
              <w:t xml:space="preserve">The insurance company wishing to obtain a </w:t>
            </w:r>
            <w:proofErr w:type="spellStart"/>
            <w:r w:rsidR="00216F3C" w:rsidRPr="00203060">
              <w:rPr>
                <w:rFonts w:ascii="Times New Roman" w:eastAsia="Times New Roman" w:hAnsi="Times New Roman" w:cs="Times New Roman"/>
                <w:color w:val="000000"/>
                <w:sz w:val="20"/>
                <w:szCs w:val="20"/>
              </w:rPr>
              <w:t>licence</w:t>
            </w:r>
            <w:proofErr w:type="spellEnd"/>
            <w:r w:rsidR="00216F3C" w:rsidRPr="00203060">
              <w:rPr>
                <w:rFonts w:ascii="Times New Roman" w:eastAsia="Times New Roman" w:hAnsi="Times New Roman" w:cs="Times New Roman"/>
                <w:color w:val="000000"/>
                <w:sz w:val="20"/>
                <w:szCs w:val="20"/>
              </w:rPr>
              <w:t xml:space="preserve"> for assistance insurance shall submit information to the Commission about the funds available at its disposal and about concluded contracts, which provide for the provision of assistance to the insured under the obligations assumed by it in this class of insurance.</w:t>
            </w:r>
          </w:p>
        </w:tc>
      </w:tr>
      <w:tr w:rsidR="00E81189" w:rsidRPr="00EA38FF"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21(4)</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Policy conditions and scales of premiums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require approval of the memorandum and articles of association or any other documents necessary for normal supervision</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3C54E3"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216F3C" w:rsidRPr="006047FD">
              <w:rPr>
                <w:rFonts w:ascii="Times New Roman" w:eastAsia="Times New Roman" w:hAnsi="Times New Roman" w:cs="Times New Roman"/>
                <w:color w:val="000000"/>
                <w:sz w:val="20"/>
                <w:szCs w:val="20"/>
                <w:lang w:val="lv-LV"/>
              </w:rPr>
              <w:t>R</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C54E3" w:rsidP="003C54E3">
            <w:pPr>
              <w:spacing w:before="120" w:after="0" w:line="240" w:lineRule="auto"/>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xml:space="preserve">The Financial and Capital Market Commission 2016.01.06. Regulation No.4 "Regulations for Obtaining Permits of the Financial and Capital Market Commission Regulating the Operation of Insurers and Foreign Reinsurers, for Making Notifications, Document Coordination and Providing Information" Art 8.1. </w:t>
            </w:r>
            <w:proofErr w:type="gramStart"/>
            <w:r w:rsidRPr="006047FD">
              <w:rPr>
                <w:rFonts w:ascii="Times New Roman" w:eastAsia="Times New Roman" w:hAnsi="Times New Roman" w:cs="Times New Roman"/>
                <w:color w:val="000000"/>
                <w:sz w:val="20"/>
                <w:szCs w:val="20"/>
              </w:rPr>
              <w:lastRenderedPageBreak/>
              <w:t>and</w:t>
            </w:r>
            <w:proofErr w:type="gramEnd"/>
            <w:r w:rsidRPr="006047FD">
              <w:rPr>
                <w:rFonts w:ascii="Times New Roman" w:eastAsia="Times New Roman" w:hAnsi="Times New Roman" w:cs="Times New Roman"/>
                <w:color w:val="000000"/>
                <w:sz w:val="20"/>
                <w:szCs w:val="20"/>
              </w:rPr>
              <w:t xml:space="preserve"> Art 8.2.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216F3C">
            <w:pPr>
              <w:spacing w:before="120" w:after="0" w:line="240" w:lineRule="auto"/>
              <w:jc w:val="both"/>
              <w:rPr>
                <w:rFonts w:ascii="Times New Roman" w:eastAsia="Times New Roman" w:hAnsi="Times New Roman" w:cs="Times New Roman"/>
                <w:color w:val="000000"/>
                <w:sz w:val="20"/>
                <w:szCs w:val="20"/>
                <w:lang w:val="lv-LV"/>
              </w:rPr>
            </w:pPr>
            <w:hyperlink r:id="rId9" w:history="1">
              <w:proofErr w:type="spellStart"/>
              <w:r w:rsidR="00351718" w:rsidRPr="00351718">
                <w:rPr>
                  <w:rStyle w:val="Hyperlink"/>
                  <w:rFonts w:ascii="Times New Roman" w:eastAsia="Times New Roman" w:hAnsi="Times New Roman" w:cs="Times New Roman"/>
                  <w:sz w:val="20"/>
                  <w:szCs w:val="20"/>
                  <w:lang w:val="lv-LV"/>
                </w:rPr>
                <w:t>Regulations</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on</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Supervisory</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Approval</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and</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Notification</w:t>
              </w:r>
              <w:proofErr w:type="spellEnd"/>
              <w:r w:rsidR="00351718" w:rsidRPr="00351718">
                <w:rPr>
                  <w:rStyle w:val="Hyperlink"/>
                  <w:rFonts w:ascii="Times New Roman" w:eastAsia="Times New Roman" w:hAnsi="Times New Roman" w:cs="Times New Roman"/>
                  <w:sz w:val="20"/>
                  <w:szCs w:val="20"/>
                  <w:lang w:val="lv-LV"/>
                </w:rPr>
                <w:t xml:space="preserve">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EA38FF" w:rsidRDefault="00366D9B" w:rsidP="00366D9B">
            <w:pPr>
              <w:spacing w:before="120" w:after="0" w:line="240" w:lineRule="auto"/>
              <w:jc w:val="both"/>
              <w:rPr>
                <w:rFonts w:ascii="Times New Roman" w:eastAsia="Times New Roman" w:hAnsi="Times New Roman" w:cs="Times New Roman"/>
                <w:color w:val="000000"/>
                <w:sz w:val="20"/>
                <w:szCs w:val="20"/>
                <w:lang w:val="lv-LV"/>
              </w:rPr>
            </w:pPr>
          </w:p>
        </w:tc>
      </w:tr>
      <w:tr w:rsidR="00E81189" w:rsidRPr="00EA38FF"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51(2), sub-paragraph 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Report on solvency and financial condition: contents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exempt during a transitional period, (re) insurance undertakings from the requirement concerning the separate disclosure of the capital add-on or the impact of the use of undertaking-specific parameters where their use is required by the supervisory authority</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673DB2">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914717">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EA38FF"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EA38FF">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57(1)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Acquisitions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Where Member States apply a threshold of one third for the notification to supervisory authorities of acquisitions in accordance with Directive 2004/109/EC, option to continue to apply that threshold, instead of a threshold of 30 %.</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C54E3">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3C54E3"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D31875" w:rsidRPr="006047FD">
              <w:rPr>
                <w:rFonts w:ascii="Times New Roman" w:eastAsia="Times New Roman" w:hAnsi="Times New Roman" w:cs="Times New Roman"/>
                <w:color w:val="000000"/>
                <w:sz w:val="20"/>
                <w:szCs w:val="20"/>
                <w:lang w:val="lv-LV"/>
              </w:rPr>
              <w:t>L</w:t>
            </w:r>
            <w:bookmarkStart w:id="0" w:name="_GoBack"/>
            <w:bookmarkEnd w:id="0"/>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C54E3" w:rsidP="00EC1E18">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 xml:space="preserve">Insurance and Reinsurance Law Article </w:t>
            </w:r>
            <w:r w:rsidR="00EC1E18" w:rsidRPr="006047FD">
              <w:rPr>
                <w:rFonts w:ascii="Times New Roman" w:hAnsi="Times New Roman" w:cs="Times New Roman"/>
                <w:sz w:val="20"/>
                <w:szCs w:val="20"/>
              </w:rPr>
              <w:t>76</w:t>
            </w:r>
            <w:r w:rsidRPr="006047FD">
              <w:rPr>
                <w:rFonts w:ascii="Times New Roman" w:hAnsi="Times New Roman" w:cs="Times New Roman"/>
                <w:sz w:val="20"/>
                <w:szCs w:val="20"/>
              </w:rPr>
              <w:t xml:space="preserve"> (</w:t>
            </w:r>
            <w:r w:rsidR="00EC1E18" w:rsidRPr="006047FD">
              <w:rPr>
                <w:rFonts w:ascii="Times New Roman" w:hAnsi="Times New Roman" w:cs="Times New Roman"/>
                <w:sz w:val="20"/>
                <w:szCs w:val="20"/>
              </w:rPr>
              <w:t>2</w:t>
            </w:r>
            <w:r w:rsidRPr="006047FD">
              <w:rPr>
                <w:rFonts w:ascii="Times New Roman" w:hAnsi="Times New Roman" w:cs="Times New Roman"/>
                <w:sz w:val="20"/>
                <w:szCs w:val="20"/>
              </w:rPr>
              <w:t>)</w:t>
            </w:r>
            <w:r w:rsidR="00366D9B"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hyperlink r:id="rId10"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rPr>
              <w:t>If a person wishes to increase its qualifying holding up to or exceeding 20, 33 or 50 per cent of the share capital or of the shares carrying voting rights of an insurance or reinsurance company, or if the insurance or reinsurance company becomes a subsidiary of that person, that person shall notify the Commission of that in writing in advance.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57(2)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Acquisitions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Where Member States apply a threshold of one third for the notification to supervisory authorities of disposals in accordance with Directive 2004/109/EC, option to continue to apply that threshold, instead of a threshold of 30 %.</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EC1E18"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D31875"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EC1E18">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78 (2)</w:t>
            </w:r>
            <w:r w:rsidRPr="006047FD">
              <w:rPr>
                <w:rFonts w:ascii="Times New Roman" w:eastAsia="Times New Roman" w:hAnsi="Times New Roman" w:cs="Times New Roman"/>
                <w:color w:val="000000"/>
                <w:sz w:val="20"/>
                <w:szCs w:val="20"/>
              </w:rPr>
              <w:t> </w:t>
            </w:r>
            <w:r w:rsidR="00366D9B"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hyperlink r:id="rId11"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D31875" w:rsidRPr="00203060">
              <w:rPr>
                <w:rFonts w:ascii="Times New Roman" w:eastAsia="Times New Roman" w:hAnsi="Times New Roman" w:cs="Times New Roman"/>
                <w:color w:val="000000"/>
                <w:sz w:val="20"/>
                <w:szCs w:val="20"/>
              </w:rPr>
              <w:t xml:space="preserve">If the person wishes to reduce its qualifying holding below 20, 33 or 50 per cent of the share capital or of the shares carrying voting rights of the insurance or reinsurance company, or the insurance or reinsurance company ceases to be the subsidiary company of that person, it shall notify of such a decision in writing in </w:t>
            </w:r>
            <w:r w:rsidR="00D31875" w:rsidRPr="00203060">
              <w:rPr>
                <w:rFonts w:ascii="Times New Roman" w:eastAsia="Times New Roman" w:hAnsi="Times New Roman" w:cs="Times New Roman"/>
                <w:color w:val="000000"/>
                <w:sz w:val="20"/>
                <w:szCs w:val="20"/>
              </w:rPr>
              <w:lastRenderedPageBreak/>
              <w:t>advance, by submitting an application to the Commission.</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73(2)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Pursuit of life and non-life insurance activity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B29BD" w:rsidRPr="006047FD" w:rsidRDefault="003B29BD" w:rsidP="00366D9B">
            <w:pPr>
              <w:spacing w:after="0" w:line="240" w:lineRule="auto"/>
              <w:rPr>
                <w:rFonts w:ascii="Times New Roman" w:hAnsi="Times New Roman" w:cs="Times New Roman"/>
                <w:sz w:val="20"/>
                <w:szCs w:val="20"/>
              </w:rPr>
            </w:pPr>
            <w:r w:rsidRPr="006047FD">
              <w:rPr>
                <w:rFonts w:ascii="Times New Roman" w:hAnsi="Times New Roman" w:cs="Times New Roman"/>
                <w:sz w:val="20"/>
                <w:szCs w:val="20"/>
              </w:rPr>
              <w:t xml:space="preserve">Option to allow the following: </w:t>
            </w:r>
          </w:p>
          <w:p w:rsidR="00366D9B" w:rsidRPr="006047FD" w:rsidRDefault="003B29BD" w:rsidP="00366D9B">
            <w:pPr>
              <w:spacing w:after="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w:t>
            </w:r>
            <w:proofErr w:type="spellStart"/>
            <w:r w:rsidRPr="006047FD">
              <w:rPr>
                <w:rFonts w:ascii="Times New Roman" w:hAnsi="Times New Roman" w:cs="Times New Roman"/>
                <w:sz w:val="20"/>
                <w:szCs w:val="20"/>
              </w:rPr>
              <w:t>i</w:t>
            </w:r>
            <w:proofErr w:type="spellEnd"/>
            <w:r w:rsidRPr="006047FD">
              <w:rPr>
                <w:rFonts w:ascii="Times New Roman" w:hAnsi="Times New Roman" w:cs="Times New Roman"/>
                <w:sz w:val="20"/>
                <w:szCs w:val="20"/>
              </w:rPr>
              <w:t xml:space="preserve">) life insurance undertakings to obtain </w:t>
            </w:r>
            <w:proofErr w:type="spellStart"/>
            <w:r w:rsidRPr="006047FD">
              <w:rPr>
                <w:rFonts w:ascii="Times New Roman" w:hAnsi="Times New Roman" w:cs="Times New Roman"/>
                <w:sz w:val="20"/>
                <w:szCs w:val="20"/>
              </w:rPr>
              <w:t>authorisation</w:t>
            </w:r>
            <w:proofErr w:type="spellEnd"/>
            <w:r w:rsidRPr="006047FD">
              <w:rPr>
                <w:rFonts w:ascii="Times New Roman" w:hAnsi="Times New Roman" w:cs="Times New Roman"/>
                <w:sz w:val="20"/>
                <w:szCs w:val="20"/>
              </w:rPr>
              <w:t xml:space="preserve"> for non-life insurance activity for accident and sickness risks; (ii) non-life undertakings </w:t>
            </w:r>
            <w:proofErr w:type="spellStart"/>
            <w:r w:rsidRPr="006047FD">
              <w:rPr>
                <w:rFonts w:ascii="Times New Roman" w:hAnsi="Times New Roman" w:cs="Times New Roman"/>
                <w:sz w:val="20"/>
                <w:szCs w:val="20"/>
              </w:rPr>
              <w:t>authorised</w:t>
            </w:r>
            <w:proofErr w:type="spellEnd"/>
            <w:r w:rsidRPr="006047FD">
              <w:rPr>
                <w:rFonts w:ascii="Times New Roman" w:hAnsi="Times New Roman" w:cs="Times New Roman"/>
                <w:sz w:val="20"/>
                <w:szCs w:val="20"/>
              </w:rPr>
              <w:t xml:space="preserve"> solely for writing accident and sickness risks to obtain </w:t>
            </w:r>
            <w:proofErr w:type="spellStart"/>
            <w:r w:rsidRPr="006047FD">
              <w:rPr>
                <w:rFonts w:ascii="Times New Roman" w:hAnsi="Times New Roman" w:cs="Times New Roman"/>
                <w:sz w:val="20"/>
                <w:szCs w:val="20"/>
              </w:rPr>
              <w:t>authorisation</w:t>
            </w:r>
            <w:proofErr w:type="spellEnd"/>
            <w:r w:rsidRPr="006047FD">
              <w:rPr>
                <w:rFonts w:ascii="Times New Roman" w:hAnsi="Times New Roman" w:cs="Times New Roman"/>
                <w:sz w:val="20"/>
                <w:szCs w:val="20"/>
              </w:rPr>
              <w:t xml:space="preserve"> to pursue life insurance activity. </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EC1E18"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D31875" w:rsidRPr="006047FD">
              <w:rPr>
                <w:rFonts w:ascii="Times New Roman" w:eastAsia="Times New Roman" w:hAnsi="Times New Roman" w:cs="Times New Roman"/>
                <w:color w:val="000000"/>
                <w:sz w:val="20"/>
                <w:szCs w:val="20"/>
                <w:lang w:val="lv-LV"/>
              </w:rPr>
              <w:t xml:space="preserve">L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EC1E18">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16 (2)</w:t>
            </w:r>
            <w:r w:rsidRPr="006047FD">
              <w:rPr>
                <w:rFonts w:ascii="Times New Roman" w:eastAsia="Times New Roman" w:hAnsi="Times New Roman" w:cs="Times New Roman"/>
                <w:color w:val="000000"/>
                <w:sz w:val="20"/>
                <w:szCs w:val="20"/>
              </w:rPr>
              <w:t>  </w:t>
            </w:r>
            <w:r w:rsidR="00366D9B"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D31875">
            <w:pPr>
              <w:spacing w:before="120" w:after="0" w:line="240" w:lineRule="auto"/>
              <w:jc w:val="both"/>
              <w:rPr>
                <w:rFonts w:ascii="Times New Roman" w:eastAsia="Times New Roman" w:hAnsi="Times New Roman" w:cs="Times New Roman"/>
                <w:color w:val="000000"/>
                <w:sz w:val="20"/>
                <w:szCs w:val="20"/>
                <w:lang w:val="lv-LV"/>
              </w:rPr>
            </w:pPr>
            <w:hyperlink r:id="rId12"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974451" w:rsidRPr="00203060" w:rsidRDefault="00366D9B" w:rsidP="00974451">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974451" w:rsidRPr="00203060">
              <w:rPr>
                <w:rFonts w:ascii="Times New Roman" w:eastAsia="Times New Roman" w:hAnsi="Times New Roman" w:cs="Times New Roman"/>
                <w:color w:val="000000"/>
                <w:sz w:val="20"/>
                <w:szCs w:val="20"/>
              </w:rPr>
              <w:t>The provision laid down in Paragraph one hereof shall not limit an insurance company which:</w:t>
            </w:r>
          </w:p>
          <w:p w:rsidR="00974451" w:rsidRPr="00203060" w:rsidRDefault="00974451" w:rsidP="00974451">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(1) has obtained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life insurance to request and obtain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accident and health insurance;</w:t>
            </w:r>
          </w:p>
          <w:p w:rsidR="00366D9B" w:rsidRPr="00203060" w:rsidRDefault="00974451" w:rsidP="00974451">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2) </w:t>
            </w:r>
            <w:proofErr w:type="gramStart"/>
            <w:r w:rsidRPr="00203060">
              <w:rPr>
                <w:rFonts w:ascii="Times New Roman" w:eastAsia="Times New Roman" w:hAnsi="Times New Roman" w:cs="Times New Roman"/>
                <w:color w:val="000000"/>
                <w:sz w:val="20"/>
                <w:szCs w:val="20"/>
              </w:rPr>
              <w:t>has</w:t>
            </w:r>
            <w:proofErr w:type="gramEnd"/>
            <w:r w:rsidRPr="00203060">
              <w:rPr>
                <w:rFonts w:ascii="Times New Roman" w:eastAsia="Times New Roman" w:hAnsi="Times New Roman" w:cs="Times New Roman"/>
                <w:color w:val="000000"/>
                <w:sz w:val="20"/>
                <w:szCs w:val="20"/>
              </w:rPr>
              <w:t xml:space="preserve"> obtained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accident and health insurance to request and obtain the </w:t>
            </w:r>
            <w:proofErr w:type="spellStart"/>
            <w:r w:rsidRPr="00203060">
              <w:rPr>
                <w:rFonts w:ascii="Times New Roman" w:eastAsia="Times New Roman" w:hAnsi="Times New Roman" w:cs="Times New Roman"/>
                <w:color w:val="000000"/>
                <w:sz w:val="20"/>
                <w:szCs w:val="20"/>
              </w:rPr>
              <w:t>licence</w:t>
            </w:r>
            <w:proofErr w:type="spellEnd"/>
            <w:r w:rsidRPr="00203060">
              <w:rPr>
                <w:rFonts w:ascii="Times New Roman" w:eastAsia="Times New Roman" w:hAnsi="Times New Roman" w:cs="Times New Roman"/>
                <w:color w:val="000000"/>
                <w:sz w:val="20"/>
                <w:szCs w:val="20"/>
              </w:rPr>
              <w:t xml:space="preserve"> for pursuing life insurance.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First sentence of paragraph 3 of Article 73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Pursuit of life and non-life insurance activity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provide for compliance of the undertakings referred to in Article 73(2) with accounting rules governing life insurance undertakings for all of their activities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EC1E18">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974451" w:rsidRPr="006047FD">
              <w:rPr>
                <w:rFonts w:ascii="Times New Roman" w:eastAsia="Times New Roman" w:hAnsi="Times New Roman" w:cs="Times New Roman"/>
                <w:color w:val="000000"/>
                <w:sz w:val="20"/>
                <w:szCs w:val="20"/>
                <w:lang w:val="lv-LV"/>
              </w:rPr>
              <w:t>N</w:t>
            </w:r>
            <w:r w:rsidR="00EC1E18" w:rsidRPr="006047FD">
              <w:rPr>
                <w:rFonts w:ascii="Times New Roman" w:eastAsia="Times New Roman" w:hAnsi="Times New Roman" w:cs="Times New Roman"/>
                <w:color w:val="000000"/>
                <w:sz w:val="20"/>
                <w:szCs w:val="20"/>
                <w:lang w:val="lv-LV"/>
              </w:rPr>
              <w:t>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Second sentence of paragraph 3 of Article 73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Pursuit of life and non-life insurance activity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within a winding-up procedure to apply the rules for life insurance activities to accident and sickness activities pursued by the undertakings under Article 73(2)</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73(5),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Pursuit of life and non-life insurance activity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putting an end to the simultaneous pursuit of life and non-life activities within a certain period</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EA38FF"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77d(1)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Volatility </w:t>
            </w:r>
            <w:r w:rsidRPr="006047FD">
              <w:rPr>
                <w:rFonts w:ascii="Times New Roman" w:hAnsi="Times New Roman" w:cs="Times New Roman"/>
                <w:sz w:val="20"/>
                <w:szCs w:val="20"/>
              </w:rPr>
              <w:lastRenderedPageBreak/>
              <w:t>adjustment to the relevant risk- free interest rate term structure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 xml:space="preserve">Option allowing to require </w:t>
            </w:r>
            <w:r w:rsidRPr="006047FD">
              <w:rPr>
                <w:rFonts w:ascii="Times New Roman" w:hAnsi="Times New Roman" w:cs="Times New Roman"/>
                <w:sz w:val="20"/>
                <w:szCs w:val="20"/>
              </w:rPr>
              <w:lastRenderedPageBreak/>
              <w:t>prior approval by the supervisory authority to apply the volatility adjustment to the risk-free interest rate term structure to calculate the best estimate referred to in Article 77(2)</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lastRenderedPageBreak/>
              <w:t> </w:t>
            </w:r>
            <w:r w:rsidR="00840273">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EA38FF"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EA38FF">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148(2)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Notification by the home Member State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require non-life insurance undertakings covering motor vehicle liability risks under the freedom to provide services to submit certain information</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EC1E18">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EC1E18"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583C55"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xml:space="preserve"> L</w:t>
            </w:r>
            <w:r w:rsidR="00366D9B"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EC1E18">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157 (3)</w:t>
            </w:r>
            <w:r w:rsidRPr="006047FD">
              <w:rPr>
                <w:rFonts w:ascii="Times New Roman" w:eastAsia="Times New Roman" w:hAnsi="Times New Roman" w:cs="Times New Roman"/>
                <w:color w:val="000000"/>
                <w:sz w:val="20"/>
                <w:szCs w:val="20"/>
              </w:rPr>
              <w:t>   </w:t>
            </w:r>
            <w:r w:rsidR="00366D9B"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583C55">
            <w:pPr>
              <w:spacing w:before="120" w:after="0" w:line="240" w:lineRule="auto"/>
              <w:jc w:val="both"/>
              <w:rPr>
                <w:rFonts w:ascii="Times New Roman" w:eastAsia="Times New Roman" w:hAnsi="Times New Roman" w:cs="Times New Roman"/>
                <w:color w:val="000000"/>
                <w:sz w:val="20"/>
                <w:szCs w:val="20"/>
                <w:lang w:val="lv-LV"/>
              </w:rPr>
            </w:pPr>
            <w:hyperlink r:id="rId13"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583C55" w:rsidRPr="00203060" w:rsidRDefault="00366D9B" w:rsidP="00583C55">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583C55" w:rsidRPr="00203060">
              <w:rPr>
                <w:rFonts w:ascii="Times New Roman" w:eastAsia="Times New Roman" w:hAnsi="Times New Roman" w:cs="Times New Roman"/>
                <w:color w:val="000000"/>
                <w:sz w:val="20"/>
                <w:szCs w:val="20"/>
              </w:rPr>
              <w:t>If the insurance company intends to pursue motor vehicle owner compulsory third party insurance, it shall additionally specify in the application:</w:t>
            </w:r>
          </w:p>
          <w:p w:rsidR="00583C55" w:rsidRPr="00203060" w:rsidRDefault="00583C55" w:rsidP="00583C55">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1) the information about the representative of the insurance company </w:t>
            </w:r>
            <w:proofErr w:type="spellStart"/>
            <w:r w:rsidRPr="00203060">
              <w:rPr>
                <w:rFonts w:ascii="Times New Roman" w:eastAsia="Times New Roman" w:hAnsi="Times New Roman" w:cs="Times New Roman"/>
                <w:color w:val="000000"/>
                <w:sz w:val="20"/>
                <w:szCs w:val="20"/>
              </w:rPr>
              <w:t>authorised</w:t>
            </w:r>
            <w:proofErr w:type="spellEnd"/>
            <w:r w:rsidRPr="00203060">
              <w:rPr>
                <w:rFonts w:ascii="Times New Roman" w:eastAsia="Times New Roman" w:hAnsi="Times New Roman" w:cs="Times New Roman"/>
                <w:color w:val="000000"/>
                <w:sz w:val="20"/>
                <w:szCs w:val="20"/>
              </w:rPr>
              <w:t xml:space="preserve"> to adopt decisions to disburse insurance indemnities, and the address thereof in the Member State;</w:t>
            </w:r>
          </w:p>
          <w:p w:rsidR="00583C55" w:rsidRPr="00203060" w:rsidRDefault="00583C55" w:rsidP="00583C55">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2) particulars of the representative of the insurance company set out in Section 159 of this Law and the address thereof in the Member State;</w:t>
            </w:r>
          </w:p>
          <w:p w:rsidR="00366D9B" w:rsidRPr="00203060" w:rsidRDefault="00583C55" w:rsidP="00583C55">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3) </w:t>
            </w:r>
            <w:proofErr w:type="gramStart"/>
            <w:r w:rsidRPr="00203060">
              <w:rPr>
                <w:rFonts w:ascii="Times New Roman" w:eastAsia="Times New Roman" w:hAnsi="Times New Roman" w:cs="Times New Roman"/>
                <w:color w:val="000000"/>
                <w:sz w:val="20"/>
                <w:szCs w:val="20"/>
              </w:rPr>
              <w:t>confirmation</w:t>
            </w:r>
            <w:proofErr w:type="gramEnd"/>
            <w:r w:rsidRPr="00203060">
              <w:rPr>
                <w:rFonts w:ascii="Times New Roman" w:eastAsia="Times New Roman" w:hAnsi="Times New Roman" w:cs="Times New Roman"/>
                <w:color w:val="000000"/>
                <w:sz w:val="20"/>
                <w:szCs w:val="20"/>
              </w:rPr>
              <w:t xml:space="preserve"> that the insurance company is a member of the Vehicle Bureau or an analogous </w:t>
            </w:r>
            <w:proofErr w:type="spellStart"/>
            <w:r w:rsidRPr="00203060">
              <w:rPr>
                <w:rFonts w:ascii="Times New Roman" w:eastAsia="Times New Roman" w:hAnsi="Times New Roman" w:cs="Times New Roman"/>
                <w:color w:val="000000"/>
                <w:sz w:val="20"/>
                <w:szCs w:val="20"/>
              </w:rPr>
              <w:t>organisation</w:t>
            </w:r>
            <w:proofErr w:type="spellEnd"/>
            <w:r w:rsidRPr="00203060">
              <w:rPr>
                <w:rFonts w:ascii="Times New Roman" w:eastAsia="Times New Roman" w:hAnsi="Times New Roman" w:cs="Times New Roman"/>
                <w:color w:val="000000"/>
                <w:sz w:val="20"/>
                <w:szCs w:val="20"/>
              </w:rPr>
              <w:t xml:space="preserve"> in the Member State and the member of the relevant guarantee fund.</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150(3)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Compulsory insurance on third party motor vehicle liability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for the host Member State to require insurance undertakings providing services to comply with </w:t>
            </w:r>
            <w:r w:rsidRPr="006047FD">
              <w:rPr>
                <w:rFonts w:ascii="Times New Roman" w:hAnsi="Times New Roman" w:cs="Times New Roman"/>
                <w:sz w:val="20"/>
                <w:szCs w:val="20"/>
              </w:rPr>
              <w:lastRenderedPageBreak/>
              <w:t>rules concerning covering aggravated risks provided that they apply to non-life insurance undertakings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EC1E18">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lastRenderedPageBreak/>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152(4)</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Representative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approve a claims representative appointed according to Article 4 of Directive 2000/26/EC as a representative under Article 152(1)</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EC1E18">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EC1E18"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F45B9"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EC1E18">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159 (4)</w:t>
            </w: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hyperlink r:id="rId14"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EF45B9" w:rsidRPr="00203060">
              <w:rPr>
                <w:rFonts w:ascii="Times New Roman" w:eastAsia="Times New Roman" w:hAnsi="Times New Roman" w:cs="Times New Roman"/>
                <w:color w:val="000000"/>
                <w:sz w:val="20"/>
                <w:szCs w:val="20"/>
              </w:rPr>
              <w:t>Where the Member State non-life insurance company has not appointed a representative, it shall be considered that the duties of the representative shall be performed by the representative of the administration of claims appointed under the laws and regulations regulating the motor vehicle third party compulsory liability insurance.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163(3)</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Scheme of operations of the branch</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from insurance undertakings to submit systematic notification of the technical basis used for calculating premiums and technical provisions in regard to life insurance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EC1E18">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169(2)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Separation of non- life and life business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composite branches to pursue life and non-life insurance activities provided that each of the activities is separately managed</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169(3),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Separation of non- life and life business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regarding branches which on the dates referred to in the first sub paragraph of Article 73(5) pursed solely life insurance activity within the Member State, but which head office </w:t>
            </w:r>
            <w:r w:rsidRPr="006047FD">
              <w:rPr>
                <w:rFonts w:ascii="Times New Roman" w:hAnsi="Times New Roman" w:cs="Times New Roman"/>
                <w:sz w:val="20"/>
                <w:szCs w:val="20"/>
              </w:rPr>
              <w:lastRenderedPageBreak/>
              <w:t>situated outside of the community simultaneously pursues life and non-life activities and subsequently wishes to pursue non-life insurance activity in that Member State.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lastRenderedPageBreak/>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179(4),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Related obligations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the issue of a declaration that an insurance contract complies with specific provisions relating to compulsory non- life insurance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181(1),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Non-life insurance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require non-systematic notification of policy conditions and other documents to verify compliance with national provisions concerning insurance contracts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181(2), sub-paragraph 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Non-life insurance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B29B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communication of the general and specific conditions of compulsory insurance to the supervisory authority before circulating them</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182,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Life insurance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systematic communication of the technical bases used for calculating scales of premiums and technical provisions to verify compliance with actuarial principles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184(2),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Additional information in the case of non-life insurance offered </w:t>
            </w:r>
            <w:r w:rsidRPr="006047FD">
              <w:rPr>
                <w:rFonts w:ascii="Times New Roman" w:hAnsi="Times New Roman" w:cs="Times New Roman"/>
                <w:sz w:val="20"/>
                <w:szCs w:val="20"/>
              </w:rPr>
              <w:lastRenderedPageBreak/>
              <w:t>under the right of establishment or the freedom to provide services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 xml:space="preserve">Option to require for the name and address of the representative of a non-life insurance undertaking to </w:t>
            </w:r>
            <w:r w:rsidRPr="006047FD">
              <w:rPr>
                <w:rFonts w:ascii="Times New Roman" w:hAnsi="Times New Roman" w:cs="Times New Roman"/>
                <w:sz w:val="20"/>
                <w:szCs w:val="20"/>
              </w:rPr>
              <w:lastRenderedPageBreak/>
              <w:t>appear in an insurance contract or other document granting cover</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lastRenderedPageBreak/>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185(7)</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Information for policy holders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the provision of additional information to ensure that policyholders understand the essential elements of the life insurance commitment</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C1E18"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186(2)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Cancellation period</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not apply a cancellation period for policy holders in specific cases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EC1E18">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EC1E18"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DF1B17"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EC1E18">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xml:space="preserve">The Insurance Contract Law Article 27 (4)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DF1B17">
            <w:pPr>
              <w:spacing w:before="120" w:after="0" w:line="240" w:lineRule="auto"/>
              <w:jc w:val="both"/>
              <w:rPr>
                <w:rFonts w:ascii="Times New Roman" w:eastAsia="Times New Roman" w:hAnsi="Times New Roman" w:cs="Times New Roman"/>
                <w:color w:val="000000"/>
                <w:sz w:val="20"/>
                <w:szCs w:val="20"/>
                <w:lang w:val="lv-LV"/>
              </w:rPr>
            </w:pPr>
            <w:hyperlink r:id="rId15" w:history="1">
              <w:proofErr w:type="spellStart"/>
              <w:r w:rsidR="00351718" w:rsidRPr="00351718">
                <w:rPr>
                  <w:rStyle w:val="Hyperlink"/>
                  <w:rFonts w:ascii="Times New Roman" w:eastAsia="Times New Roman" w:hAnsi="Times New Roman" w:cs="Times New Roman"/>
                  <w:sz w:val="20"/>
                  <w:szCs w:val="20"/>
                  <w:lang w:val="lv-LV"/>
                </w:rPr>
                <w:t>Insurance</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Contract</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Law</w:t>
              </w:r>
              <w:proofErr w:type="spellEnd"/>
              <w:r w:rsidR="00351718" w:rsidRPr="00351718">
                <w:rPr>
                  <w:rStyle w:val="Hyperlink"/>
                  <w:rFonts w:ascii="Times New Roman" w:eastAsia="Times New Roman" w:hAnsi="Times New Roman" w:cs="Times New Roman"/>
                  <w:sz w:val="20"/>
                  <w:szCs w:val="20"/>
                  <w:lang w:val="lv-LV"/>
                </w:rPr>
                <w:t xml:space="preserve">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rPr>
              <w:t>The provisions of Paragraph 3 of this Article shall not apply to individual life insurance contracts with the validity of less than six months.</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189</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Participation in national guarantee schemes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compulsory participation of non-life insurance undertakings in host Member State guarantee schemes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EC1E18"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DF1B17"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EC1E18" w:rsidP="00187D60">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 xml:space="preserve">Insurance and Reinsurance Law Article </w:t>
            </w:r>
            <w:r w:rsidR="00187D60" w:rsidRPr="006047FD">
              <w:rPr>
                <w:rFonts w:ascii="Times New Roman" w:hAnsi="Times New Roman" w:cs="Times New Roman"/>
                <w:sz w:val="20"/>
                <w:szCs w:val="20"/>
              </w:rPr>
              <w:t>287</w:t>
            </w:r>
            <w:r w:rsidRPr="006047FD">
              <w:rPr>
                <w:rFonts w:ascii="Times New Roman" w:hAnsi="Times New Roman" w:cs="Times New Roman"/>
                <w:sz w:val="20"/>
                <w:szCs w:val="20"/>
              </w:rPr>
              <w:t xml:space="preserve"> </w:t>
            </w:r>
            <w:r w:rsidR="00187D60" w:rsidRPr="006047FD">
              <w:rPr>
                <w:rFonts w:ascii="Times New Roman" w:hAnsi="Times New Roman" w:cs="Times New Roman"/>
                <w:sz w:val="20"/>
                <w:szCs w:val="20"/>
              </w:rPr>
              <w:t xml:space="preserve">(1), </w:t>
            </w:r>
            <w:r w:rsidRPr="006047FD">
              <w:rPr>
                <w:rFonts w:ascii="Times New Roman" w:hAnsi="Times New Roman" w:cs="Times New Roman"/>
                <w:sz w:val="20"/>
                <w:szCs w:val="20"/>
              </w:rPr>
              <w:t>(4)</w:t>
            </w:r>
            <w:r w:rsidR="00187D60" w:rsidRPr="006047FD">
              <w:rPr>
                <w:rFonts w:ascii="Times New Roman" w:hAnsi="Times New Roman" w:cs="Times New Roman"/>
                <w:sz w:val="20"/>
                <w:szCs w:val="20"/>
              </w:rPr>
              <w:t>, (5)</w:t>
            </w: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DF1B17" w:rsidRPr="00203060" w:rsidRDefault="00914717" w:rsidP="00DF1B17">
            <w:pPr>
              <w:spacing w:before="120" w:after="0" w:line="240" w:lineRule="auto"/>
              <w:jc w:val="both"/>
              <w:rPr>
                <w:rFonts w:ascii="Times New Roman" w:eastAsia="Times New Roman" w:hAnsi="Times New Roman" w:cs="Times New Roman"/>
                <w:color w:val="000000"/>
                <w:sz w:val="20"/>
                <w:szCs w:val="20"/>
                <w:lang w:val="lv-LV"/>
              </w:rPr>
            </w:pPr>
            <w:hyperlink r:id="rId16"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DF1B17" w:rsidRPr="00203060">
              <w:rPr>
                <w:rFonts w:ascii="Times New Roman" w:eastAsia="Times New Roman" w:hAnsi="Times New Roman" w:cs="Times New Roman"/>
                <w:color w:val="000000"/>
                <w:sz w:val="20"/>
                <w:szCs w:val="20"/>
              </w:rPr>
              <w:t>(1) The funds of the Protection Fund for the Insured shall be made up from the contributions of the members thereof in the amount of 0.1 per cent of the sum total of their gross insurance premiums received from natural persons for the classes of insurance referred to in Section 19, Paragraph one, Clauses 1, 2, 3, 8, 9, 10, 13 and 18 and Paragraph two, Clauses 1, 2, 4, 5, 6 and 7 of this Law.</w:t>
            </w:r>
          </w:p>
          <w:p w:rsidR="00DF1B17" w:rsidRPr="00203060" w:rsidRDefault="00DF1B17" w:rsidP="00DF1B17">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(4) The provisions of Paragraph one hereof shall not be binding on the branches of Member State or non-Member State insurers, if the laws and regulations of these countries provide for the </w:t>
            </w:r>
            <w:r w:rsidRPr="00203060">
              <w:rPr>
                <w:rFonts w:ascii="Times New Roman" w:eastAsia="Times New Roman" w:hAnsi="Times New Roman" w:cs="Times New Roman"/>
                <w:color w:val="000000"/>
                <w:sz w:val="20"/>
                <w:szCs w:val="20"/>
              </w:rPr>
              <w:lastRenderedPageBreak/>
              <w:t>protection of the insured in the branches thereof abroad (as well as in the Republic of Latvia) and cover all the cases provided for in this Law, and the guaranteed insurance indemnity is not lower than that provided for in this Law.</w:t>
            </w:r>
          </w:p>
          <w:p w:rsidR="00DF1B17" w:rsidRPr="00203060" w:rsidRDefault="00DF1B17" w:rsidP="00DF1B17">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(5) The provisions of Paragraph one hereof shall not be binding on the Member State insurer if the laws and regulations of the home country of the Member State insurer provide for the protection of the insured in foreign countries (as well as in the Republic of Latvia), in which it provides insurance services under the freedom to provide services principle and cover all the cases provided for in this Law, and the guaranteed insurance indemnity is not lower than that provided for in this Law.</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197, sub-paragraph 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Activities similar to tourist assistance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provide for assistance to persons in difficulties in circumstances other than those laid down in Article 2(2)</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187D60"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198(2)(c)</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Scope of this section</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allowing to not apply the requirements for legal expenses insurance to the activity of legal expenses insurance undertaken by an assistance </w:t>
            </w:r>
            <w:r w:rsidRPr="006047FD">
              <w:rPr>
                <w:rFonts w:ascii="Times New Roman" w:hAnsi="Times New Roman" w:cs="Times New Roman"/>
                <w:sz w:val="20"/>
                <w:szCs w:val="20"/>
              </w:rPr>
              <w:lastRenderedPageBreak/>
              <w:t>insurer under specific circumstances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lastRenderedPageBreak/>
              <w:t> </w:t>
            </w:r>
            <w:proofErr w:type="spellStart"/>
            <w:r w:rsidR="00187D60"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021C64"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187D60" w:rsidP="00187D60">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 xml:space="preserve">Insurance and Reinsurance Law Article 191 (2) point 3(b)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187D60">
            <w:pPr>
              <w:spacing w:before="120" w:after="0" w:line="240" w:lineRule="auto"/>
              <w:jc w:val="both"/>
              <w:rPr>
                <w:rFonts w:ascii="Times New Roman" w:eastAsia="Times New Roman" w:hAnsi="Times New Roman" w:cs="Times New Roman"/>
                <w:color w:val="000000"/>
                <w:sz w:val="20"/>
                <w:szCs w:val="20"/>
                <w:lang w:val="lv-LV"/>
              </w:rPr>
            </w:pPr>
            <w:hyperlink r:id="rId17"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021C64" w:rsidRPr="00203060" w:rsidRDefault="00366D9B" w:rsidP="00021C64">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021C64" w:rsidRPr="00203060">
              <w:rPr>
                <w:rFonts w:ascii="Times New Roman" w:eastAsia="Times New Roman" w:hAnsi="Times New Roman" w:cs="Times New Roman"/>
                <w:color w:val="000000"/>
                <w:sz w:val="20"/>
                <w:szCs w:val="20"/>
              </w:rPr>
              <w:t xml:space="preserve">3) legal expenses insurance carried out by the insurer within the scope of assistance insurance, which meets the </w:t>
            </w:r>
            <w:r w:rsidR="00021C64" w:rsidRPr="00203060">
              <w:rPr>
                <w:rFonts w:ascii="Times New Roman" w:eastAsia="Times New Roman" w:hAnsi="Times New Roman" w:cs="Times New Roman"/>
                <w:color w:val="000000"/>
                <w:sz w:val="20"/>
                <w:szCs w:val="20"/>
              </w:rPr>
              <w:lastRenderedPageBreak/>
              <w:t>following conditions:</w:t>
            </w:r>
          </w:p>
          <w:p w:rsidR="00366D9B" w:rsidRPr="00203060" w:rsidRDefault="00021C64" w:rsidP="00021C64">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b) the activity is part of the agreement relating only to assistance provided to persons who have encountered difficulties while travelling, while away from their homes or from their permanent places of residence.</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199</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Separate contracts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request an explicit specification of the amount of the premium for legal expenses within the relevant contract</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187D60"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16EAF"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187D60" w:rsidP="00187D60">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 xml:space="preserve">Insurance and Reinsurance Law Article 193 (1) point 1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0E6B98">
            <w:pPr>
              <w:spacing w:before="120" w:after="0" w:line="240" w:lineRule="auto"/>
              <w:jc w:val="both"/>
              <w:rPr>
                <w:rFonts w:ascii="Times New Roman" w:eastAsia="Times New Roman" w:hAnsi="Times New Roman" w:cs="Times New Roman"/>
                <w:color w:val="000000"/>
                <w:sz w:val="20"/>
                <w:szCs w:val="20"/>
                <w:lang w:val="lv-LV"/>
              </w:rPr>
            </w:pPr>
            <w:hyperlink r:id="rId18"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0E6B98" w:rsidRPr="00203060" w:rsidRDefault="00366D9B" w:rsidP="000E6B98">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0E6B98" w:rsidRPr="00203060">
              <w:rPr>
                <w:rFonts w:ascii="Times New Roman" w:eastAsia="Times New Roman" w:hAnsi="Times New Roman" w:cs="Times New Roman"/>
                <w:color w:val="000000"/>
                <w:sz w:val="20"/>
                <w:szCs w:val="20"/>
              </w:rPr>
              <w:t>In insuring legal expenses, the insurance contract shall provide for the following:</w:t>
            </w:r>
          </w:p>
          <w:p w:rsidR="00366D9B" w:rsidRPr="00203060" w:rsidRDefault="000E6B98" w:rsidP="000E6B98">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1) separate presentation of the insured risk and insurance premiums if the insurer insures the risk of legal expenses insurance along with another insurance risk;</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200(1), sub-paragraph 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Management of claims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choose between three methods for the management of claims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187D60"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200(3),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Management of claims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extend the prohibition on simultaneous pursuit of the same or similar activity in a linked insurance undertaking to members of the administrative, management or supervisory body of the legal expenses insurance undertaking</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187D60"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202(1)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Exception to the free choice of lawyer</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the exemption from the free choice of lawyer rule in legal expenses insurance subject to certain conditions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187D60"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647D4"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187D60" w:rsidP="00187D60">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 xml:space="preserve">Insurance and Reinsurance Law Article 193 (3)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6647D4">
            <w:pPr>
              <w:spacing w:before="120" w:after="0" w:line="240" w:lineRule="auto"/>
              <w:jc w:val="both"/>
              <w:rPr>
                <w:rFonts w:ascii="Times New Roman" w:eastAsia="Times New Roman" w:hAnsi="Times New Roman" w:cs="Times New Roman"/>
                <w:color w:val="000000"/>
                <w:sz w:val="20"/>
                <w:szCs w:val="20"/>
                <w:lang w:val="lv-LV"/>
              </w:rPr>
            </w:pPr>
            <w:hyperlink r:id="rId19"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6647D4" w:rsidRPr="00203060" w:rsidRDefault="00366D9B" w:rsidP="006647D4">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6647D4" w:rsidRPr="00203060">
              <w:rPr>
                <w:rFonts w:ascii="Times New Roman" w:eastAsia="Times New Roman" w:hAnsi="Times New Roman" w:cs="Times New Roman"/>
                <w:color w:val="000000"/>
                <w:sz w:val="20"/>
                <w:szCs w:val="20"/>
              </w:rPr>
              <w:t>Paragraph one, Clause 2 hereof shall not apply if:</w:t>
            </w:r>
          </w:p>
          <w:p w:rsidR="006647D4" w:rsidRPr="00203060" w:rsidRDefault="006647D4" w:rsidP="006647D4">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1) insurance applies only in cases related to the use of motor vehicles in the </w:t>
            </w:r>
            <w:r w:rsidRPr="00203060">
              <w:rPr>
                <w:rFonts w:ascii="Times New Roman" w:eastAsia="Times New Roman" w:hAnsi="Times New Roman" w:cs="Times New Roman"/>
                <w:color w:val="000000"/>
                <w:sz w:val="20"/>
                <w:szCs w:val="20"/>
              </w:rPr>
              <w:lastRenderedPageBreak/>
              <w:t>territory of the Republic of Latvia;</w:t>
            </w:r>
          </w:p>
          <w:p w:rsidR="00366D9B" w:rsidRPr="00203060" w:rsidRDefault="006647D4" w:rsidP="006647D4">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2) </w:t>
            </w:r>
            <w:proofErr w:type="gramStart"/>
            <w:r w:rsidRPr="00203060">
              <w:rPr>
                <w:rFonts w:ascii="Times New Roman" w:eastAsia="Times New Roman" w:hAnsi="Times New Roman" w:cs="Times New Roman"/>
                <w:color w:val="000000"/>
                <w:sz w:val="20"/>
                <w:szCs w:val="20"/>
              </w:rPr>
              <w:t>insurance</w:t>
            </w:r>
            <w:proofErr w:type="gramEnd"/>
            <w:r w:rsidRPr="00203060">
              <w:rPr>
                <w:rFonts w:ascii="Times New Roman" w:eastAsia="Times New Roman" w:hAnsi="Times New Roman" w:cs="Times New Roman"/>
                <w:color w:val="000000"/>
                <w:sz w:val="20"/>
                <w:szCs w:val="20"/>
              </w:rPr>
              <w:t xml:space="preserve"> applies to the provision of assistance in the event of accidents or damage in which a motor vehicle has been involved.</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206(1)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Health insurance as an alternative to social security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(a) compliance of health insurance contracts with specific legal provisions to protect the general good in the class of sickness insurance; and (b) communication to the supervisory authorities of the general and specific conditions of sickness insurance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187D60"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206(2), sub-paragraph 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Health insurance as an alternative to social security</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the operation of an alternative health insurance system on a technical basis similar to that of life insurance subject to specific conditions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187D60"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207</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Compulsory insurance against accidents at work</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compliance of undertakings offering compulsory insurance against accidents at work with specific provisions of national law of the host Member State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187D60"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216(1), sub-paragraph 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Ultimate parent undertaking at national level</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for supervisory discretion to apply group supervision to an ultimate parent undertaking at national level</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187D60"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44575B"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187D60" w:rsidP="00187D60">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 xml:space="preserve">Insurance and Reinsurance Law Article 201 (1)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366D9B">
            <w:pPr>
              <w:spacing w:before="120" w:after="0" w:line="240" w:lineRule="auto"/>
              <w:jc w:val="both"/>
              <w:rPr>
                <w:rFonts w:ascii="Times New Roman" w:eastAsia="Times New Roman" w:hAnsi="Times New Roman" w:cs="Times New Roman"/>
                <w:color w:val="000000"/>
                <w:sz w:val="20"/>
                <w:szCs w:val="20"/>
                <w:lang w:val="lv-LV"/>
              </w:rPr>
            </w:pPr>
            <w:hyperlink r:id="rId20"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E81189">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E81189" w:rsidRPr="00203060">
              <w:rPr>
                <w:rFonts w:ascii="Times New Roman" w:eastAsia="Times New Roman" w:hAnsi="Times New Roman" w:cs="Times New Roman"/>
                <w:color w:val="000000"/>
                <w:sz w:val="20"/>
                <w:szCs w:val="20"/>
              </w:rPr>
              <w:t xml:space="preserve">Section 201. (1) If the ultimate parent company set out in Section 200 of this Law of a participating insurance or reinsurance company or an insurance holding company or a </w:t>
            </w:r>
            <w:r w:rsidR="00E81189" w:rsidRPr="00203060">
              <w:rPr>
                <w:rFonts w:ascii="Times New Roman" w:eastAsia="Times New Roman" w:hAnsi="Times New Roman" w:cs="Times New Roman"/>
                <w:color w:val="000000"/>
                <w:sz w:val="20"/>
                <w:szCs w:val="20"/>
              </w:rPr>
              <w:lastRenderedPageBreak/>
              <w:t>mixed financial holding company registered in a Member State referred to in Section 197, Paragraph one, Clauses 1 and 2 of this Law is situated in another Member State, the Commission, having consulted the group supervisory authority and the said ultimate parent company, within the circumstances set out in EU Regulation No. 2015/35, may adopt the decision to extend group supervision to the ultimate insurance or reinsurance parent company or insurance holding company or mixed financial holding company registered in the Republic of Latvia.</w:t>
            </w:r>
          </w:p>
        </w:tc>
      </w:tr>
      <w:tr w:rsidR="00E81189" w:rsidRPr="00EA38FF"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225,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Related insurance and reinsurance undertakings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require taking into account the Solvency Capital Requirements and the eligible own funds in respect of related undertakings with a head office in another Member State, as laid down in that Member State, for the purposes of the group solvency calculation</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187D60"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628F1" w:rsidRPr="006047FD">
              <w:rPr>
                <w:rFonts w:ascii="Times New Roman" w:eastAsia="Times New Roman" w:hAnsi="Times New Roman" w:cs="Times New Roman"/>
                <w:color w:val="000000"/>
                <w:sz w:val="20"/>
                <w:szCs w:val="20"/>
                <w:lang w:val="lv-LV"/>
              </w:rPr>
              <w:t>R</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187D60" w:rsidRPr="006047FD" w:rsidRDefault="00187D60" w:rsidP="00AC5C9C">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xml:space="preserve">The Financial and Capital Market Commission 2015.08.12. Regulation No.131 "Regulations on the group solvency calculation for insurers and reinsurers" Art 16. </w:t>
            </w:r>
          </w:p>
          <w:p w:rsidR="00366D9B" w:rsidRPr="006047FD" w:rsidRDefault="00366D9B" w:rsidP="00AC5C9C">
            <w:pPr>
              <w:spacing w:before="120" w:after="0" w:line="240" w:lineRule="auto"/>
              <w:jc w:val="both"/>
              <w:rPr>
                <w:rFonts w:ascii="Times New Roman" w:eastAsia="Times New Roman" w:hAnsi="Times New Roman" w:cs="Times New Roman"/>
                <w:color w:val="000000"/>
                <w:sz w:val="20"/>
                <w:szCs w:val="20"/>
              </w:rPr>
            </w:pP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366D9B">
            <w:pPr>
              <w:spacing w:before="120" w:after="0" w:line="240" w:lineRule="auto"/>
              <w:jc w:val="both"/>
              <w:rPr>
                <w:rFonts w:ascii="Times New Roman" w:eastAsia="Times New Roman" w:hAnsi="Times New Roman" w:cs="Times New Roman"/>
                <w:color w:val="000000"/>
                <w:sz w:val="20"/>
                <w:szCs w:val="20"/>
                <w:lang w:val="lv-LV"/>
              </w:rPr>
            </w:pPr>
            <w:hyperlink r:id="rId21" w:history="1">
              <w:proofErr w:type="spellStart"/>
              <w:r w:rsidR="00351718" w:rsidRPr="00351718">
                <w:rPr>
                  <w:rStyle w:val="Hyperlink"/>
                  <w:rFonts w:ascii="Times New Roman" w:eastAsia="Times New Roman" w:hAnsi="Times New Roman" w:cs="Times New Roman"/>
                  <w:sz w:val="20"/>
                  <w:szCs w:val="20"/>
                  <w:lang w:val="lv-LV"/>
                </w:rPr>
                <w:t>Regulations</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on</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Group</w:t>
              </w:r>
              <w:proofErr w:type="spellEnd"/>
              <w:r w:rsidR="00351718" w:rsidRPr="00351718">
                <w:rPr>
                  <w:rStyle w:val="Hyperlink"/>
                  <w:rFonts w:ascii="Times New Roman" w:eastAsia="Times New Roman" w:hAnsi="Times New Roman" w:cs="Times New Roman"/>
                  <w:sz w:val="20"/>
                  <w:szCs w:val="20"/>
                  <w:lang w:val="lv-LV"/>
                </w:rPr>
                <w:t xml:space="preserve"> </w:t>
              </w:r>
              <w:proofErr w:type="spellStart"/>
              <w:r w:rsidR="00351718" w:rsidRPr="00351718">
                <w:rPr>
                  <w:rStyle w:val="Hyperlink"/>
                  <w:rFonts w:ascii="Times New Roman" w:eastAsia="Times New Roman" w:hAnsi="Times New Roman" w:cs="Times New Roman"/>
                  <w:sz w:val="20"/>
                  <w:szCs w:val="20"/>
                  <w:lang w:val="lv-LV"/>
                </w:rPr>
                <w:t>Solvency</w:t>
              </w:r>
              <w:proofErr w:type="spellEnd"/>
              <w:r w:rsidR="00351718" w:rsidRPr="00351718">
                <w:rPr>
                  <w:rStyle w:val="Hyperlink"/>
                  <w:rFonts w:ascii="Times New Roman" w:eastAsia="Times New Roman" w:hAnsi="Times New Roman" w:cs="Times New Roman"/>
                  <w:sz w:val="20"/>
                  <w:szCs w:val="20"/>
                  <w:lang w:val="lv-LV"/>
                </w:rPr>
                <w:t xml:space="preserve">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EA38FF"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EA38FF">
              <w:rPr>
                <w:rFonts w:ascii="Times New Roman" w:eastAsia="Times New Roman" w:hAnsi="Times New Roman" w:cs="Times New Roman"/>
                <w:color w:val="000000"/>
                <w:sz w:val="20"/>
                <w:szCs w:val="20"/>
                <w:lang w:val="lv-LV"/>
              </w:rPr>
              <w:t> </w:t>
            </w:r>
          </w:p>
        </w:tc>
      </w:tr>
      <w:tr w:rsidR="00E81189" w:rsidRPr="00EA38FF"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227(1),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Related third-country insurance and reinsurance undertakings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allowing to require taking into account the Solvency Capital Requirements and the eligible own funds in respect of related </w:t>
            </w:r>
            <w:r w:rsidRPr="006047FD">
              <w:rPr>
                <w:rFonts w:ascii="Times New Roman" w:hAnsi="Times New Roman" w:cs="Times New Roman"/>
                <w:sz w:val="20"/>
                <w:szCs w:val="20"/>
              </w:rPr>
              <w:lastRenderedPageBreak/>
              <w:t>undertakings with a head office in an equivalent solvency regime third country, as laid down in that third country</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lastRenderedPageBreak/>
              <w:t> </w:t>
            </w:r>
            <w:proofErr w:type="spellStart"/>
            <w:r w:rsidR="00187D60"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AC5C9C"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R</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6047FD" w:rsidRPr="006047FD" w:rsidRDefault="006047FD" w:rsidP="006047FD">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xml:space="preserve">The Financial and Capital Market Commission 2015.08.12. Regulation No.131 "Regulations on the </w:t>
            </w:r>
            <w:r w:rsidRPr="006047FD">
              <w:rPr>
                <w:rFonts w:ascii="Times New Roman" w:eastAsia="Times New Roman" w:hAnsi="Times New Roman" w:cs="Times New Roman"/>
                <w:color w:val="000000"/>
                <w:sz w:val="20"/>
                <w:szCs w:val="20"/>
              </w:rPr>
              <w:lastRenderedPageBreak/>
              <w:t xml:space="preserve">group solvency calculation for insurers and reinsurers" Art 22 </w:t>
            </w:r>
          </w:p>
          <w:p w:rsidR="00366D9B" w:rsidRPr="006047FD" w:rsidRDefault="00366D9B" w:rsidP="00AC5C9C">
            <w:pPr>
              <w:spacing w:before="120" w:after="0" w:line="240" w:lineRule="auto"/>
              <w:jc w:val="both"/>
              <w:rPr>
                <w:rFonts w:ascii="Times New Roman" w:eastAsia="Times New Roman" w:hAnsi="Times New Roman" w:cs="Times New Roman"/>
                <w:color w:val="000000"/>
                <w:sz w:val="20"/>
                <w:szCs w:val="20"/>
              </w:rPr>
            </w:pP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366D9B">
            <w:pPr>
              <w:spacing w:before="120" w:after="0" w:line="240" w:lineRule="auto"/>
              <w:jc w:val="both"/>
              <w:rPr>
                <w:rFonts w:ascii="Times New Roman" w:eastAsia="Times New Roman" w:hAnsi="Times New Roman" w:cs="Times New Roman"/>
                <w:color w:val="000000"/>
                <w:sz w:val="20"/>
                <w:szCs w:val="20"/>
                <w:lang w:val="lv-LV"/>
              </w:rPr>
            </w:pPr>
            <w:hyperlink r:id="rId22" w:history="1">
              <w:proofErr w:type="spellStart"/>
              <w:r w:rsidR="00840273" w:rsidRPr="00351718">
                <w:rPr>
                  <w:rStyle w:val="Hyperlink"/>
                  <w:rFonts w:ascii="Times New Roman" w:eastAsia="Times New Roman" w:hAnsi="Times New Roman" w:cs="Times New Roman"/>
                  <w:sz w:val="20"/>
                  <w:szCs w:val="20"/>
                  <w:lang w:val="lv-LV"/>
                </w:rPr>
                <w:t>Regulations</w:t>
              </w:r>
              <w:proofErr w:type="spellEnd"/>
              <w:r w:rsidR="00840273" w:rsidRPr="00351718">
                <w:rPr>
                  <w:rStyle w:val="Hyperlink"/>
                  <w:rFonts w:ascii="Times New Roman" w:eastAsia="Times New Roman" w:hAnsi="Times New Roman" w:cs="Times New Roman"/>
                  <w:sz w:val="20"/>
                  <w:szCs w:val="20"/>
                  <w:lang w:val="lv-LV"/>
                </w:rPr>
                <w:t xml:space="preserve"> </w:t>
              </w:r>
              <w:proofErr w:type="spellStart"/>
              <w:r w:rsidR="00840273" w:rsidRPr="00351718">
                <w:rPr>
                  <w:rStyle w:val="Hyperlink"/>
                  <w:rFonts w:ascii="Times New Roman" w:eastAsia="Times New Roman" w:hAnsi="Times New Roman" w:cs="Times New Roman"/>
                  <w:sz w:val="20"/>
                  <w:szCs w:val="20"/>
                  <w:lang w:val="lv-LV"/>
                </w:rPr>
                <w:t>on</w:t>
              </w:r>
              <w:proofErr w:type="spellEnd"/>
              <w:r w:rsidR="00840273" w:rsidRPr="00351718">
                <w:rPr>
                  <w:rStyle w:val="Hyperlink"/>
                  <w:rFonts w:ascii="Times New Roman" w:eastAsia="Times New Roman" w:hAnsi="Times New Roman" w:cs="Times New Roman"/>
                  <w:sz w:val="20"/>
                  <w:szCs w:val="20"/>
                  <w:lang w:val="lv-LV"/>
                </w:rPr>
                <w:t xml:space="preserve"> </w:t>
              </w:r>
              <w:proofErr w:type="spellStart"/>
              <w:r w:rsidR="00840273" w:rsidRPr="00351718">
                <w:rPr>
                  <w:rStyle w:val="Hyperlink"/>
                  <w:rFonts w:ascii="Times New Roman" w:eastAsia="Times New Roman" w:hAnsi="Times New Roman" w:cs="Times New Roman"/>
                  <w:sz w:val="20"/>
                  <w:szCs w:val="20"/>
                  <w:lang w:val="lv-LV"/>
                </w:rPr>
                <w:t>Group</w:t>
              </w:r>
              <w:proofErr w:type="spellEnd"/>
              <w:r w:rsidR="00840273" w:rsidRPr="00351718">
                <w:rPr>
                  <w:rStyle w:val="Hyperlink"/>
                  <w:rFonts w:ascii="Times New Roman" w:eastAsia="Times New Roman" w:hAnsi="Times New Roman" w:cs="Times New Roman"/>
                  <w:sz w:val="20"/>
                  <w:szCs w:val="20"/>
                  <w:lang w:val="lv-LV"/>
                </w:rPr>
                <w:t xml:space="preserve"> </w:t>
              </w:r>
              <w:proofErr w:type="spellStart"/>
              <w:r w:rsidR="00840273" w:rsidRPr="00351718">
                <w:rPr>
                  <w:rStyle w:val="Hyperlink"/>
                  <w:rFonts w:ascii="Times New Roman" w:eastAsia="Times New Roman" w:hAnsi="Times New Roman" w:cs="Times New Roman"/>
                  <w:sz w:val="20"/>
                  <w:szCs w:val="20"/>
                  <w:lang w:val="lv-LV"/>
                </w:rPr>
                <w:t>Solvency</w:t>
              </w:r>
              <w:proofErr w:type="spellEnd"/>
              <w:r w:rsidR="00840273" w:rsidRPr="00351718">
                <w:rPr>
                  <w:rStyle w:val="Hyperlink"/>
                  <w:rFonts w:ascii="Times New Roman" w:eastAsia="Times New Roman" w:hAnsi="Times New Roman" w:cs="Times New Roman"/>
                  <w:sz w:val="20"/>
                  <w:szCs w:val="20"/>
                  <w:lang w:val="lv-LV"/>
                </w:rPr>
                <w:t xml:space="preserve">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EA38FF"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EA38FF">
              <w:rPr>
                <w:rFonts w:ascii="Times New Roman" w:eastAsia="Times New Roman" w:hAnsi="Times New Roman" w:cs="Times New Roman"/>
                <w:color w:val="000000"/>
                <w:sz w:val="20"/>
                <w:szCs w:val="20"/>
                <w:lang w:val="lv-LV"/>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275(1)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Treatment of insurance claims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04652D"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choose between two methods or a combination thereof to ensure that insurance claims take precedence over other claims against an insurance undertaking</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6047FD"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81D46"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6047FD" w:rsidP="006047FD">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265</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E81D46">
            <w:pPr>
              <w:spacing w:before="120" w:after="0" w:line="240" w:lineRule="auto"/>
              <w:jc w:val="both"/>
              <w:rPr>
                <w:rFonts w:ascii="Times New Roman" w:eastAsia="Times New Roman" w:hAnsi="Times New Roman" w:cs="Times New Roman"/>
                <w:color w:val="000000"/>
                <w:sz w:val="20"/>
                <w:szCs w:val="20"/>
                <w:lang w:val="lv-LV"/>
              </w:rPr>
            </w:pPr>
            <w:hyperlink r:id="rId23"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E81D46" w:rsidRPr="00203060" w:rsidRDefault="00366D9B" w:rsidP="00E81D46">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rPr>
              <w:t>After the covering of the expenses of the insolvency proceedings, the remaining cash shall be allocated to settle the claims lodged by secured and other creditors in the following categories:</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1) the claims of policyholders (the insured) for the payment of insurance indemnities in other claims (insurance premiums) for the concluded insurance contracts, the claim of the Commission, if the policyholder (a natural person) has received the insurance indemnity from the Protection Fund for the Insured;</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2) claims of creditors under Section 18, Paragraphs two, three and four of the Insolvency Law;</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3) claims for interest payments to creditors;</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4) claims of the creditors who have lodged their claims after the prescribed time limit;</w:t>
            </w:r>
          </w:p>
          <w:p w:rsidR="00E81D46"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5) claims for the </w:t>
            </w:r>
            <w:r w:rsidRPr="00203060">
              <w:rPr>
                <w:rFonts w:ascii="Times New Roman" w:eastAsia="Times New Roman" w:hAnsi="Times New Roman" w:cs="Times New Roman"/>
                <w:color w:val="000000"/>
                <w:sz w:val="20"/>
                <w:szCs w:val="20"/>
              </w:rPr>
              <w:lastRenderedPageBreak/>
              <w:t>repayment of the subordinated obligations;</w:t>
            </w:r>
          </w:p>
          <w:p w:rsidR="00366D9B" w:rsidRPr="00203060" w:rsidRDefault="00E81D46" w:rsidP="00E81D46">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xml:space="preserve">6) </w:t>
            </w:r>
            <w:proofErr w:type="gramStart"/>
            <w:r w:rsidRPr="00203060">
              <w:rPr>
                <w:rFonts w:ascii="Times New Roman" w:eastAsia="Times New Roman" w:hAnsi="Times New Roman" w:cs="Times New Roman"/>
                <w:color w:val="000000"/>
                <w:sz w:val="20"/>
                <w:szCs w:val="20"/>
              </w:rPr>
              <w:t>the</w:t>
            </w:r>
            <w:proofErr w:type="gramEnd"/>
            <w:r w:rsidRPr="00203060">
              <w:rPr>
                <w:rFonts w:ascii="Times New Roman" w:eastAsia="Times New Roman" w:hAnsi="Times New Roman" w:cs="Times New Roman"/>
                <w:color w:val="000000"/>
                <w:sz w:val="20"/>
                <w:szCs w:val="20"/>
              </w:rPr>
              <w:t xml:space="preserve"> claims of the shareholders or members of the insurance company pro-rated to the contribution of the shareholders or members into the share capital of the insurance company shall be satisfied after the settlement of all the claims listed above herein.</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275(2)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Treatment of insurance claims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provide for the precedence of expenses arising from winding-up procedures over insurance claims wholly or in part</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roofErr w:type="spellStart"/>
            <w:r w:rsidR="006047FD" w:rsidRPr="006047FD">
              <w:rPr>
                <w:rFonts w:ascii="Times New Roman" w:eastAsia="Times New Roman" w:hAnsi="Times New Roman" w:cs="Times New Roman"/>
                <w:color w:val="000000"/>
                <w:sz w:val="20"/>
                <w:szCs w:val="20"/>
                <w:lang w:val="lv-LV"/>
              </w:rPr>
              <w:t>Yes</w:t>
            </w:r>
            <w:proofErr w:type="spellEnd"/>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E81D46" w:rsidRPr="006047FD">
              <w:rPr>
                <w:rFonts w:ascii="Times New Roman" w:eastAsia="Times New Roman" w:hAnsi="Times New Roman" w:cs="Times New Roman"/>
                <w:color w:val="000000"/>
                <w:sz w:val="20"/>
                <w:szCs w:val="20"/>
                <w:lang w:val="lv-LV"/>
              </w:rPr>
              <w:t>L</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6047FD" w:rsidP="006047FD">
            <w:pPr>
              <w:spacing w:before="120" w:after="0" w:line="240" w:lineRule="auto"/>
              <w:jc w:val="both"/>
              <w:rPr>
                <w:rFonts w:ascii="Times New Roman" w:eastAsia="Times New Roman" w:hAnsi="Times New Roman" w:cs="Times New Roman"/>
                <w:color w:val="000000"/>
                <w:sz w:val="20"/>
                <w:szCs w:val="20"/>
              </w:rPr>
            </w:pPr>
            <w:r w:rsidRPr="006047FD">
              <w:rPr>
                <w:rFonts w:ascii="Times New Roman" w:hAnsi="Times New Roman" w:cs="Times New Roman"/>
                <w:sz w:val="20"/>
                <w:szCs w:val="20"/>
              </w:rPr>
              <w:t>Insurance and Reinsurance Law Article 266(1)</w:t>
            </w:r>
            <w:r w:rsidRPr="006047FD">
              <w:rPr>
                <w:rFonts w:ascii="Times New Roman" w:eastAsia="Times New Roman" w:hAnsi="Times New Roman" w:cs="Times New Roman"/>
                <w:color w:val="000000"/>
                <w:sz w:val="20"/>
                <w:szCs w:val="20"/>
              </w:rPr>
              <w:t xml:space="preserve">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914717" w:rsidP="00366D9B">
            <w:pPr>
              <w:spacing w:before="120" w:after="0" w:line="240" w:lineRule="auto"/>
              <w:jc w:val="both"/>
              <w:rPr>
                <w:rFonts w:ascii="Times New Roman" w:eastAsia="Times New Roman" w:hAnsi="Times New Roman" w:cs="Times New Roman"/>
                <w:color w:val="000000"/>
                <w:sz w:val="20"/>
                <w:szCs w:val="20"/>
                <w:lang w:val="lv-LV"/>
              </w:rPr>
            </w:pPr>
            <w:hyperlink r:id="rId24" w:history="1">
              <w:r w:rsidR="00351718" w:rsidRPr="00351718">
                <w:rPr>
                  <w:rStyle w:val="Hyperlink"/>
                  <w:rFonts w:ascii="Times New Roman" w:hAnsi="Times New Roman" w:cs="Times New Roman"/>
                  <w:sz w:val="20"/>
                  <w:szCs w:val="20"/>
                </w:rPr>
                <w:t>Insurance and Reinsurance Law LV</w:t>
              </w:r>
            </w:hyperlink>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EA38FF">
              <w:rPr>
                <w:rFonts w:ascii="Times New Roman" w:eastAsia="Times New Roman" w:hAnsi="Times New Roman" w:cs="Times New Roman"/>
                <w:color w:val="000000"/>
                <w:sz w:val="20"/>
                <w:szCs w:val="20"/>
                <w:lang w:val="lv-LV"/>
              </w:rPr>
              <w:t> </w:t>
            </w:r>
            <w:r w:rsidR="00E81D46" w:rsidRPr="00203060">
              <w:rPr>
                <w:rFonts w:ascii="Times New Roman" w:eastAsia="Times New Roman" w:hAnsi="Times New Roman" w:cs="Times New Roman"/>
                <w:color w:val="000000"/>
                <w:sz w:val="20"/>
                <w:szCs w:val="20"/>
              </w:rPr>
              <w:t>Preferential claims are insurance premiums paid by policyholders in advance and the claims specified in Section 265, Clauses 1, 2 and 3 of this Law.</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276(2),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Special register</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require a single register to be kept by insurance undertakings covering life and accident and sickness risks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277</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Subrogation to a guarantee scheme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provide for the non-application of Article 275(1) to claims by insurance creditors where they have been subrogated to a national guarantee scheme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279(2), sub-paragraph 2</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Withdrawal of the </w:t>
            </w:r>
            <w:proofErr w:type="spellStart"/>
            <w:r w:rsidRPr="006047FD">
              <w:rPr>
                <w:rFonts w:ascii="Times New Roman" w:hAnsi="Times New Roman" w:cs="Times New Roman"/>
                <w:sz w:val="20"/>
                <w:szCs w:val="20"/>
              </w:rPr>
              <w:t>authorisation</w:t>
            </w:r>
            <w:proofErr w:type="spellEnd"/>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to provide that the pursuit of some activities during winding-up proceedings are subject to the consent and the supervision of the supervisory authority of the home Member State</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lastRenderedPageBreak/>
              <w:t>Article 304(1)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Duration-based equity risk sub-module</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 xml:space="preserve">Option to </w:t>
            </w:r>
            <w:proofErr w:type="spellStart"/>
            <w:r w:rsidRPr="006047FD">
              <w:rPr>
                <w:rFonts w:ascii="Times New Roman" w:hAnsi="Times New Roman" w:cs="Times New Roman"/>
                <w:sz w:val="20"/>
                <w:szCs w:val="20"/>
              </w:rPr>
              <w:t>authorise</w:t>
            </w:r>
            <w:proofErr w:type="spellEnd"/>
            <w:r w:rsidRPr="006047FD">
              <w:rPr>
                <w:rFonts w:ascii="Times New Roman" w:hAnsi="Times New Roman" w:cs="Times New Roman"/>
                <w:sz w:val="20"/>
                <w:szCs w:val="20"/>
              </w:rPr>
              <w:t xml:space="preserve"> life insurance undertakings to apply a duration-based equity risk sub-module under certain conditions</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305(1)</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Derogations and abolition of restrictive measures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for the granting of exemptions of non-life undertakings with certain maximum premium income which did not meet solvency requirements on 31 January 1975 from the requirement to establish a minimum guarantee fund</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308b(15)</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Transitional measures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to continue to apply the laws, regulations and administrative provisions that have been adopted with a view to complying with Articles 1 to 19, 27 to 30, 32 to 35 and 37 to 67 of Directive 2002/83/EC until 31 December 2019</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r w:rsidR="00E81189" w:rsidRPr="00203060" w:rsidTr="006628F1">
        <w:trPr>
          <w:tblCellSpacing w:w="0" w:type="dxa"/>
        </w:trPr>
        <w:tc>
          <w:tcPr>
            <w:tcW w:w="49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Article 308b(16)</w:t>
            </w:r>
          </w:p>
        </w:tc>
        <w:tc>
          <w:tcPr>
            <w:tcW w:w="570"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Transitional measures</w:t>
            </w:r>
          </w:p>
        </w:tc>
        <w:tc>
          <w:tcPr>
            <w:tcW w:w="7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2052BC" w:rsidP="00366D9B">
            <w:pPr>
              <w:spacing w:before="60" w:after="60" w:line="240" w:lineRule="auto"/>
              <w:rPr>
                <w:rFonts w:ascii="Times New Roman" w:eastAsia="Times New Roman" w:hAnsi="Times New Roman" w:cs="Times New Roman"/>
                <w:color w:val="000000"/>
                <w:sz w:val="20"/>
                <w:szCs w:val="20"/>
                <w:lang w:val="lv-LV"/>
              </w:rPr>
            </w:pPr>
            <w:r w:rsidRPr="006047FD">
              <w:rPr>
                <w:rFonts w:ascii="Times New Roman" w:hAnsi="Times New Roman" w:cs="Times New Roman"/>
                <w:sz w:val="20"/>
                <w:szCs w:val="20"/>
              </w:rPr>
              <w:t>Option allowing the ultimate parent insurance or reinsurance undertaking, during a period until 31 March 2022, to apply for the approval of an internal group model applicable to a part of a group</w:t>
            </w:r>
          </w:p>
        </w:tc>
        <w:tc>
          <w:tcPr>
            <w:tcW w:w="52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r w:rsidR="006047FD" w:rsidRPr="006047FD">
              <w:rPr>
                <w:rFonts w:ascii="Times New Roman" w:eastAsia="Times New Roman" w:hAnsi="Times New Roman" w:cs="Times New Roman"/>
                <w:color w:val="000000"/>
                <w:sz w:val="20"/>
                <w:szCs w:val="20"/>
                <w:lang w:val="lv-LV"/>
              </w:rPr>
              <w:t>No</w:t>
            </w:r>
          </w:p>
        </w:tc>
        <w:tc>
          <w:tcPr>
            <w:tcW w:w="48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6047FD">
              <w:rPr>
                <w:rFonts w:ascii="Times New Roman" w:eastAsia="Times New Roman" w:hAnsi="Times New Roman" w:cs="Times New Roman"/>
                <w:color w:val="000000"/>
                <w:sz w:val="20"/>
                <w:szCs w:val="20"/>
                <w:lang w:val="lv-LV"/>
              </w:rPr>
              <w:t> </w:t>
            </w:r>
          </w:p>
        </w:tc>
        <w:tc>
          <w:tcPr>
            <w:tcW w:w="626"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6047FD" w:rsidRDefault="00366D9B" w:rsidP="00366D9B">
            <w:pPr>
              <w:spacing w:before="120" w:after="0" w:line="240" w:lineRule="auto"/>
              <w:jc w:val="both"/>
              <w:rPr>
                <w:rFonts w:ascii="Times New Roman" w:eastAsia="Times New Roman" w:hAnsi="Times New Roman" w:cs="Times New Roman"/>
                <w:color w:val="000000"/>
                <w:sz w:val="20"/>
                <w:szCs w:val="20"/>
              </w:rPr>
            </w:pPr>
            <w:r w:rsidRPr="006047FD">
              <w:rPr>
                <w:rFonts w:ascii="Times New Roman" w:eastAsia="Times New Roman" w:hAnsi="Times New Roman" w:cs="Times New Roman"/>
                <w:color w:val="000000"/>
                <w:sz w:val="20"/>
                <w:szCs w:val="20"/>
              </w:rPr>
              <w:t> </w:t>
            </w:r>
          </w:p>
        </w:tc>
        <w:tc>
          <w:tcPr>
            <w:tcW w:w="772"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lang w:val="lv-LV"/>
              </w:rPr>
            </w:pPr>
            <w:r w:rsidRPr="00203060">
              <w:rPr>
                <w:rFonts w:ascii="Times New Roman" w:eastAsia="Times New Roman" w:hAnsi="Times New Roman" w:cs="Times New Roman"/>
                <w:color w:val="000000"/>
                <w:sz w:val="20"/>
                <w:szCs w:val="20"/>
                <w:lang w:val="lv-LV"/>
              </w:rPr>
              <w:t> </w:t>
            </w:r>
          </w:p>
        </w:tc>
        <w:tc>
          <w:tcPr>
            <w:tcW w:w="748" w:type="pct"/>
            <w:tcBorders>
              <w:top w:val="single" w:sz="6" w:space="0" w:color="000000"/>
              <w:left w:val="single" w:sz="6" w:space="0" w:color="000000"/>
              <w:bottom w:val="single" w:sz="6" w:space="0" w:color="000000"/>
              <w:right w:val="single" w:sz="6" w:space="0" w:color="000000"/>
            </w:tcBorders>
            <w:shd w:val="clear" w:color="auto" w:fill="FFFFFF"/>
            <w:hideMark/>
          </w:tcPr>
          <w:p w:rsidR="00366D9B" w:rsidRPr="00203060" w:rsidRDefault="00366D9B" w:rsidP="00366D9B">
            <w:pPr>
              <w:spacing w:before="120" w:after="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rPr>
              <w:t> </w:t>
            </w:r>
          </w:p>
        </w:tc>
      </w:tr>
    </w:tbl>
    <w:p w:rsidR="00366D9B" w:rsidRPr="00203060" w:rsidRDefault="00914717" w:rsidP="00366D9B">
      <w:pPr>
        <w:spacing w:before="240" w:after="6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pict>
          <v:rect id="_x0000_i1025" style="width:181.65pt;height:.75pt" o:hrpct="0" o:hrstd="t" o:hrnoshade="t" o:hr="t" fillcolor="black" stroked="f"/>
        </w:pict>
      </w:r>
    </w:p>
    <w:p w:rsidR="00366D9B" w:rsidRPr="006047FD" w:rsidRDefault="00673DB2" w:rsidP="00366D9B">
      <w:pPr>
        <w:shd w:val="clear" w:color="auto" w:fill="FFFFFF"/>
        <w:spacing w:before="60" w:after="60" w:line="240" w:lineRule="auto"/>
        <w:jc w:val="both"/>
        <w:rPr>
          <w:rFonts w:ascii="Times New Roman" w:eastAsia="Times New Roman" w:hAnsi="Times New Roman" w:cs="Times New Roman"/>
          <w:color w:val="000000"/>
          <w:sz w:val="20"/>
          <w:szCs w:val="20"/>
        </w:rPr>
      </w:pPr>
      <w:r w:rsidRPr="00203060">
        <w:rPr>
          <w:rFonts w:ascii="Times New Roman" w:eastAsia="Times New Roman" w:hAnsi="Times New Roman" w:cs="Times New Roman"/>
          <w:color w:val="000000"/>
          <w:sz w:val="20"/>
          <w:szCs w:val="20"/>
          <w:vertAlign w:val="superscript"/>
          <w:lang w:val="lv-LV"/>
        </w:rPr>
        <w:t>(1)</w:t>
      </w:r>
      <w:r w:rsidR="00366D9B" w:rsidRPr="00203060">
        <w:rPr>
          <w:rFonts w:ascii="Times New Roman" w:eastAsia="Times New Roman" w:hAnsi="Times New Roman" w:cs="Times New Roman"/>
          <w:color w:val="000000"/>
          <w:sz w:val="20"/>
          <w:szCs w:val="20"/>
          <w:lang w:val="lv-LV"/>
        </w:rPr>
        <w:t>  </w:t>
      </w:r>
      <w:r w:rsidR="002052BC" w:rsidRPr="006047FD">
        <w:rPr>
          <w:rFonts w:ascii="Times New Roman" w:eastAsia="Times New Roman" w:hAnsi="Times New Roman" w:cs="Times New Roman"/>
          <w:color w:val="000000"/>
          <w:sz w:val="20"/>
          <w:szCs w:val="20"/>
        </w:rPr>
        <w:t>Text of law (L), regulation (R), administrative rule (A).</w:t>
      </w:r>
    </w:p>
    <w:p w:rsidR="0052088B" w:rsidRPr="00203060" w:rsidRDefault="0052088B">
      <w:pPr>
        <w:rPr>
          <w:rFonts w:ascii="Times New Roman" w:hAnsi="Times New Roman" w:cs="Times New Roman"/>
          <w:sz w:val="20"/>
          <w:szCs w:val="20"/>
          <w:lang w:val="lv-LV"/>
        </w:rPr>
      </w:pPr>
    </w:p>
    <w:sectPr w:rsidR="0052088B" w:rsidRPr="00203060" w:rsidSect="00366D9B">
      <w:pgSz w:w="15840" w:h="12240" w:orient="landscape"/>
      <w:pgMar w:top="990" w:right="900" w:bottom="117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FF" w:rsidRDefault="00EA38FF" w:rsidP="00216F3C">
      <w:pPr>
        <w:spacing w:after="0" w:line="240" w:lineRule="auto"/>
      </w:pPr>
      <w:r>
        <w:separator/>
      </w:r>
    </w:p>
  </w:endnote>
  <w:endnote w:type="continuationSeparator" w:id="0">
    <w:p w:rsidR="00EA38FF" w:rsidRDefault="00EA38FF" w:rsidP="0021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FF" w:rsidRDefault="00EA38FF" w:rsidP="00216F3C">
      <w:pPr>
        <w:spacing w:after="0" w:line="240" w:lineRule="auto"/>
      </w:pPr>
      <w:r>
        <w:separator/>
      </w:r>
    </w:p>
  </w:footnote>
  <w:footnote w:type="continuationSeparator" w:id="0">
    <w:p w:rsidR="00EA38FF" w:rsidRDefault="00EA38FF" w:rsidP="00216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9B"/>
    <w:rsid w:val="00021C64"/>
    <w:rsid w:val="0004652D"/>
    <w:rsid w:val="000E6B98"/>
    <w:rsid w:val="00187D60"/>
    <w:rsid w:val="001F6A18"/>
    <w:rsid w:val="00203060"/>
    <w:rsid w:val="002052BC"/>
    <w:rsid w:val="00216F3C"/>
    <w:rsid w:val="00351718"/>
    <w:rsid w:val="00356498"/>
    <w:rsid w:val="00366D9B"/>
    <w:rsid w:val="003B29BD"/>
    <w:rsid w:val="003C54E3"/>
    <w:rsid w:val="0044575B"/>
    <w:rsid w:val="0052088B"/>
    <w:rsid w:val="00583C55"/>
    <w:rsid w:val="006047FD"/>
    <w:rsid w:val="006628F1"/>
    <w:rsid w:val="006647D4"/>
    <w:rsid w:val="00673DB2"/>
    <w:rsid w:val="007044B6"/>
    <w:rsid w:val="0070507C"/>
    <w:rsid w:val="00840273"/>
    <w:rsid w:val="00903E9C"/>
    <w:rsid w:val="00914717"/>
    <w:rsid w:val="00974451"/>
    <w:rsid w:val="00A329A9"/>
    <w:rsid w:val="00AC5C9C"/>
    <w:rsid w:val="00C26494"/>
    <w:rsid w:val="00D31875"/>
    <w:rsid w:val="00DF1B17"/>
    <w:rsid w:val="00E16EAF"/>
    <w:rsid w:val="00E81189"/>
    <w:rsid w:val="00E81D46"/>
    <w:rsid w:val="00EA38FF"/>
    <w:rsid w:val="00EC1E18"/>
    <w:rsid w:val="00E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66D9B"/>
  </w:style>
  <w:style w:type="paragraph" w:customStyle="1" w:styleId="Normal1">
    <w:name w:val="Normal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D9B"/>
    <w:rPr>
      <w:color w:val="0000FF"/>
      <w:u w:val="single"/>
    </w:rPr>
  </w:style>
  <w:style w:type="character" w:customStyle="1" w:styleId="super">
    <w:name w:val="super"/>
    <w:basedOn w:val="DefaultParagraphFont"/>
    <w:rsid w:val="00366D9B"/>
  </w:style>
  <w:style w:type="paragraph" w:customStyle="1" w:styleId="tbl-txt">
    <w:name w:val="tbl-txt"/>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16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F3C"/>
    <w:rPr>
      <w:sz w:val="20"/>
      <w:szCs w:val="20"/>
    </w:rPr>
  </w:style>
  <w:style w:type="character" w:styleId="EndnoteReference">
    <w:name w:val="endnote reference"/>
    <w:basedOn w:val="DefaultParagraphFont"/>
    <w:uiPriority w:val="99"/>
    <w:semiHidden/>
    <w:unhideWhenUsed/>
    <w:rsid w:val="00216F3C"/>
    <w:rPr>
      <w:vertAlign w:val="superscript"/>
    </w:rPr>
  </w:style>
  <w:style w:type="paragraph" w:styleId="FootnoteText">
    <w:name w:val="footnote text"/>
    <w:basedOn w:val="Normal"/>
    <w:link w:val="FootnoteTextChar"/>
    <w:uiPriority w:val="99"/>
    <w:semiHidden/>
    <w:unhideWhenUsed/>
    <w:rsid w:val="00216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3C"/>
    <w:rPr>
      <w:sz w:val="20"/>
      <w:szCs w:val="20"/>
    </w:rPr>
  </w:style>
  <w:style w:type="character" w:styleId="FootnoteReference">
    <w:name w:val="footnote reference"/>
    <w:basedOn w:val="DefaultParagraphFont"/>
    <w:uiPriority w:val="99"/>
    <w:semiHidden/>
    <w:unhideWhenUsed/>
    <w:rsid w:val="00216F3C"/>
    <w:rPr>
      <w:vertAlign w:val="superscript"/>
    </w:rPr>
  </w:style>
  <w:style w:type="paragraph" w:styleId="Header">
    <w:name w:val="header"/>
    <w:basedOn w:val="Normal"/>
    <w:link w:val="HeaderChar"/>
    <w:uiPriority w:val="99"/>
    <w:unhideWhenUsed/>
    <w:rsid w:val="00673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DB2"/>
  </w:style>
  <w:style w:type="paragraph" w:styleId="Footer">
    <w:name w:val="footer"/>
    <w:basedOn w:val="Normal"/>
    <w:link w:val="FooterChar"/>
    <w:uiPriority w:val="99"/>
    <w:unhideWhenUsed/>
    <w:rsid w:val="00673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DB2"/>
  </w:style>
  <w:style w:type="paragraph" w:styleId="ListParagraph">
    <w:name w:val="List Paragraph"/>
    <w:basedOn w:val="Normal"/>
    <w:uiPriority w:val="34"/>
    <w:qFormat/>
    <w:rsid w:val="003B29BD"/>
    <w:pPr>
      <w:ind w:left="720"/>
      <w:contextualSpacing/>
    </w:pPr>
  </w:style>
  <w:style w:type="character" w:styleId="FollowedHyperlink">
    <w:name w:val="FollowedHyperlink"/>
    <w:basedOn w:val="DefaultParagraphFont"/>
    <w:uiPriority w:val="99"/>
    <w:semiHidden/>
    <w:unhideWhenUsed/>
    <w:rsid w:val="00351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66D9B"/>
  </w:style>
  <w:style w:type="paragraph" w:customStyle="1" w:styleId="Normal1">
    <w:name w:val="Normal1"/>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D9B"/>
    <w:rPr>
      <w:color w:val="0000FF"/>
      <w:u w:val="single"/>
    </w:rPr>
  </w:style>
  <w:style w:type="character" w:customStyle="1" w:styleId="super">
    <w:name w:val="super"/>
    <w:basedOn w:val="DefaultParagraphFont"/>
    <w:rsid w:val="00366D9B"/>
  </w:style>
  <w:style w:type="paragraph" w:customStyle="1" w:styleId="tbl-txt">
    <w:name w:val="tbl-txt"/>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366D9B"/>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16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F3C"/>
    <w:rPr>
      <w:sz w:val="20"/>
      <w:szCs w:val="20"/>
    </w:rPr>
  </w:style>
  <w:style w:type="character" w:styleId="EndnoteReference">
    <w:name w:val="endnote reference"/>
    <w:basedOn w:val="DefaultParagraphFont"/>
    <w:uiPriority w:val="99"/>
    <w:semiHidden/>
    <w:unhideWhenUsed/>
    <w:rsid w:val="00216F3C"/>
    <w:rPr>
      <w:vertAlign w:val="superscript"/>
    </w:rPr>
  </w:style>
  <w:style w:type="paragraph" w:styleId="FootnoteText">
    <w:name w:val="footnote text"/>
    <w:basedOn w:val="Normal"/>
    <w:link w:val="FootnoteTextChar"/>
    <w:uiPriority w:val="99"/>
    <w:semiHidden/>
    <w:unhideWhenUsed/>
    <w:rsid w:val="00216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F3C"/>
    <w:rPr>
      <w:sz w:val="20"/>
      <w:szCs w:val="20"/>
    </w:rPr>
  </w:style>
  <w:style w:type="character" w:styleId="FootnoteReference">
    <w:name w:val="footnote reference"/>
    <w:basedOn w:val="DefaultParagraphFont"/>
    <w:uiPriority w:val="99"/>
    <w:semiHidden/>
    <w:unhideWhenUsed/>
    <w:rsid w:val="00216F3C"/>
    <w:rPr>
      <w:vertAlign w:val="superscript"/>
    </w:rPr>
  </w:style>
  <w:style w:type="paragraph" w:styleId="Header">
    <w:name w:val="header"/>
    <w:basedOn w:val="Normal"/>
    <w:link w:val="HeaderChar"/>
    <w:uiPriority w:val="99"/>
    <w:unhideWhenUsed/>
    <w:rsid w:val="00673D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DB2"/>
  </w:style>
  <w:style w:type="paragraph" w:styleId="Footer">
    <w:name w:val="footer"/>
    <w:basedOn w:val="Normal"/>
    <w:link w:val="FooterChar"/>
    <w:uiPriority w:val="99"/>
    <w:unhideWhenUsed/>
    <w:rsid w:val="00673D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DB2"/>
  </w:style>
  <w:style w:type="paragraph" w:styleId="ListParagraph">
    <w:name w:val="List Paragraph"/>
    <w:basedOn w:val="Normal"/>
    <w:uiPriority w:val="34"/>
    <w:qFormat/>
    <w:rsid w:val="003B29BD"/>
    <w:pPr>
      <w:ind w:left="720"/>
      <w:contextualSpacing/>
    </w:pPr>
  </w:style>
  <w:style w:type="character" w:styleId="FollowedHyperlink">
    <w:name w:val="FollowedHyperlink"/>
    <w:basedOn w:val="DefaultParagraphFont"/>
    <w:uiPriority w:val="99"/>
    <w:semiHidden/>
    <w:unhideWhenUsed/>
    <w:rsid w:val="00351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70084">
      <w:bodyDiv w:val="1"/>
      <w:marLeft w:val="0"/>
      <w:marRight w:val="0"/>
      <w:marTop w:val="0"/>
      <w:marBottom w:val="0"/>
      <w:divBdr>
        <w:top w:val="none" w:sz="0" w:space="0" w:color="auto"/>
        <w:left w:val="none" w:sz="0" w:space="0" w:color="auto"/>
        <w:bottom w:val="none" w:sz="0" w:space="0" w:color="auto"/>
        <w:right w:val="none" w:sz="0" w:space="0" w:color="auto"/>
      </w:divBdr>
    </w:div>
    <w:div w:id="652484944">
      <w:bodyDiv w:val="1"/>
      <w:marLeft w:val="0"/>
      <w:marRight w:val="0"/>
      <w:marTop w:val="0"/>
      <w:marBottom w:val="0"/>
      <w:divBdr>
        <w:top w:val="none" w:sz="0" w:space="0" w:color="auto"/>
        <w:left w:val="none" w:sz="0" w:space="0" w:color="auto"/>
        <w:bottom w:val="none" w:sz="0" w:space="0" w:color="auto"/>
        <w:right w:val="none" w:sz="0" w:space="0" w:color="auto"/>
      </w:divBdr>
    </w:div>
    <w:div w:id="715275486">
      <w:bodyDiv w:val="1"/>
      <w:marLeft w:val="0"/>
      <w:marRight w:val="0"/>
      <w:marTop w:val="0"/>
      <w:marBottom w:val="0"/>
      <w:divBdr>
        <w:top w:val="none" w:sz="0" w:space="0" w:color="auto"/>
        <w:left w:val="none" w:sz="0" w:space="0" w:color="auto"/>
        <w:bottom w:val="none" w:sz="0" w:space="0" w:color="auto"/>
        <w:right w:val="none" w:sz="0" w:space="0" w:color="auto"/>
      </w:divBdr>
    </w:div>
    <w:div w:id="740448254">
      <w:bodyDiv w:val="1"/>
      <w:marLeft w:val="0"/>
      <w:marRight w:val="0"/>
      <w:marTop w:val="0"/>
      <w:marBottom w:val="0"/>
      <w:divBdr>
        <w:top w:val="none" w:sz="0" w:space="0" w:color="auto"/>
        <w:left w:val="none" w:sz="0" w:space="0" w:color="auto"/>
        <w:bottom w:val="none" w:sz="0" w:space="0" w:color="auto"/>
        <w:right w:val="none" w:sz="0" w:space="0" w:color="auto"/>
      </w:divBdr>
    </w:div>
    <w:div w:id="891312298">
      <w:bodyDiv w:val="1"/>
      <w:marLeft w:val="0"/>
      <w:marRight w:val="0"/>
      <w:marTop w:val="0"/>
      <w:marBottom w:val="0"/>
      <w:divBdr>
        <w:top w:val="none" w:sz="0" w:space="0" w:color="auto"/>
        <w:left w:val="none" w:sz="0" w:space="0" w:color="auto"/>
        <w:bottom w:val="none" w:sz="0" w:space="0" w:color="auto"/>
        <w:right w:val="none" w:sz="0" w:space="0" w:color="auto"/>
      </w:divBdr>
    </w:div>
    <w:div w:id="1215509014">
      <w:bodyDiv w:val="1"/>
      <w:marLeft w:val="0"/>
      <w:marRight w:val="0"/>
      <w:marTop w:val="0"/>
      <w:marBottom w:val="0"/>
      <w:divBdr>
        <w:top w:val="none" w:sz="0" w:space="0" w:color="auto"/>
        <w:left w:val="none" w:sz="0" w:space="0" w:color="auto"/>
        <w:bottom w:val="none" w:sz="0" w:space="0" w:color="auto"/>
        <w:right w:val="none" w:sz="0" w:space="0" w:color="auto"/>
      </w:divBdr>
    </w:div>
    <w:div w:id="1221404602">
      <w:bodyDiv w:val="1"/>
      <w:marLeft w:val="0"/>
      <w:marRight w:val="0"/>
      <w:marTop w:val="0"/>
      <w:marBottom w:val="0"/>
      <w:divBdr>
        <w:top w:val="none" w:sz="0" w:space="0" w:color="auto"/>
        <w:left w:val="none" w:sz="0" w:space="0" w:color="auto"/>
        <w:bottom w:val="none" w:sz="0" w:space="0" w:color="auto"/>
        <w:right w:val="none" w:sz="0" w:space="0" w:color="auto"/>
      </w:divBdr>
    </w:div>
    <w:div w:id="1285191184">
      <w:bodyDiv w:val="1"/>
      <w:marLeft w:val="0"/>
      <w:marRight w:val="0"/>
      <w:marTop w:val="0"/>
      <w:marBottom w:val="0"/>
      <w:divBdr>
        <w:top w:val="none" w:sz="0" w:space="0" w:color="auto"/>
        <w:left w:val="none" w:sz="0" w:space="0" w:color="auto"/>
        <w:bottom w:val="none" w:sz="0" w:space="0" w:color="auto"/>
        <w:right w:val="none" w:sz="0" w:space="0" w:color="auto"/>
      </w:divBdr>
    </w:div>
    <w:div w:id="1539466454">
      <w:bodyDiv w:val="1"/>
      <w:marLeft w:val="0"/>
      <w:marRight w:val="0"/>
      <w:marTop w:val="0"/>
      <w:marBottom w:val="0"/>
      <w:divBdr>
        <w:top w:val="none" w:sz="0" w:space="0" w:color="auto"/>
        <w:left w:val="none" w:sz="0" w:space="0" w:color="auto"/>
        <w:bottom w:val="none" w:sz="0" w:space="0" w:color="auto"/>
        <w:right w:val="none" w:sz="0" w:space="0" w:color="auto"/>
      </w:divBdr>
    </w:div>
    <w:div w:id="1793597262">
      <w:bodyDiv w:val="1"/>
      <w:marLeft w:val="0"/>
      <w:marRight w:val="0"/>
      <w:marTop w:val="0"/>
      <w:marBottom w:val="0"/>
      <w:divBdr>
        <w:top w:val="none" w:sz="0" w:space="0" w:color="auto"/>
        <w:left w:val="none" w:sz="0" w:space="0" w:color="auto"/>
        <w:bottom w:val="none" w:sz="0" w:space="0" w:color="auto"/>
        <w:right w:val="none" w:sz="0" w:space="0" w:color="auto"/>
      </w:divBdr>
    </w:div>
    <w:div w:id="21228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969" TargetMode="External"/><Relationship Id="rId13" Type="http://schemas.openxmlformats.org/officeDocument/2006/relationships/hyperlink" Target="https://likumi.lv/ta/id/274969" TargetMode="External"/><Relationship Id="rId18" Type="http://schemas.openxmlformats.org/officeDocument/2006/relationships/hyperlink" Target="https://likumi.lv/ta/id/27496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likumi.lv/doc.php?id=275872" TargetMode="External"/><Relationship Id="rId7" Type="http://schemas.openxmlformats.org/officeDocument/2006/relationships/endnotes" Target="endnotes.xml"/><Relationship Id="rId12" Type="http://schemas.openxmlformats.org/officeDocument/2006/relationships/hyperlink" Target="https://likumi.lv/ta/id/274969" TargetMode="External"/><Relationship Id="rId17" Type="http://schemas.openxmlformats.org/officeDocument/2006/relationships/hyperlink" Target="https://likumi.lv/ta/id/2749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274969" TargetMode="External"/><Relationship Id="rId20" Type="http://schemas.openxmlformats.org/officeDocument/2006/relationships/hyperlink" Target="https://likumi.lv/ta/id/2749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4969" TargetMode="External"/><Relationship Id="rId24" Type="http://schemas.openxmlformats.org/officeDocument/2006/relationships/hyperlink" Target="https://likumi.lv/ta/id/274969" TargetMode="External"/><Relationship Id="rId5" Type="http://schemas.openxmlformats.org/officeDocument/2006/relationships/webSettings" Target="webSettings.xml"/><Relationship Id="rId15" Type="http://schemas.openxmlformats.org/officeDocument/2006/relationships/hyperlink" Target="https://m.likumi.lv/doc.php?id=48896&amp;mode=KDOC" TargetMode="External"/><Relationship Id="rId23" Type="http://schemas.openxmlformats.org/officeDocument/2006/relationships/hyperlink" Target="https://likumi.lv/ta/id/274969" TargetMode="External"/><Relationship Id="rId10" Type="http://schemas.openxmlformats.org/officeDocument/2006/relationships/hyperlink" Target="https://likumi.lv/ta/id/274969" TargetMode="External"/><Relationship Id="rId19" Type="http://schemas.openxmlformats.org/officeDocument/2006/relationships/hyperlink" Target="https://likumi.lv/ta/id/274969" TargetMode="External"/><Relationship Id="rId4" Type="http://schemas.openxmlformats.org/officeDocument/2006/relationships/settings" Target="settings.xml"/><Relationship Id="rId9" Type="http://schemas.openxmlformats.org/officeDocument/2006/relationships/hyperlink" Target="https://m.likumi.lv/doc.php?id=279122" TargetMode="External"/><Relationship Id="rId14" Type="http://schemas.openxmlformats.org/officeDocument/2006/relationships/hyperlink" Target="https://likumi.lv/ta/id/274969" TargetMode="External"/><Relationship Id="rId22" Type="http://schemas.openxmlformats.org/officeDocument/2006/relationships/hyperlink" Target="https://m.likumi.lv/doc.php?id=275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EB08-EDE3-41CB-A87B-79F98B7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14307</Words>
  <Characters>8156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Lenss</dc:creator>
  <cp:lastModifiedBy>Inara Gutmane</cp:lastModifiedBy>
  <cp:revision>7</cp:revision>
  <dcterms:created xsi:type="dcterms:W3CDTF">2017-05-16T11:14:00Z</dcterms:created>
  <dcterms:modified xsi:type="dcterms:W3CDTF">2017-06-06T09:13:00Z</dcterms:modified>
</cp:coreProperties>
</file>