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03" w:rsidRPr="004012B5" w:rsidRDefault="004E3100" w:rsidP="004012B5">
      <w:pPr>
        <w:autoSpaceDE w:val="0"/>
        <w:autoSpaceDN w:val="0"/>
        <w:adjustRightInd w:val="0"/>
      </w:pPr>
      <w:bookmarkStart w:id="0" w:name="_GoBack"/>
      <w:bookmarkEnd w:id="0"/>
      <w:r>
        <w:rPr>
          <w:b/>
          <w:kern w:val="28"/>
          <w:sz w:val="32"/>
        </w:rPr>
        <w:t xml:space="preserve">Par </w:t>
      </w:r>
      <w:r w:rsidRPr="004012B5">
        <w:rPr>
          <w:b/>
          <w:kern w:val="28"/>
          <w:sz w:val="32"/>
        </w:rPr>
        <w:t>darījum</w:t>
      </w:r>
      <w:r>
        <w:rPr>
          <w:b/>
          <w:kern w:val="28"/>
          <w:sz w:val="32"/>
        </w:rPr>
        <w:t>u</w:t>
      </w:r>
      <w:r w:rsidRPr="004012B5">
        <w:rPr>
          <w:b/>
          <w:kern w:val="28"/>
          <w:sz w:val="32"/>
        </w:rPr>
        <w:t xml:space="preserve"> </w:t>
      </w:r>
      <w:r>
        <w:rPr>
          <w:b/>
          <w:kern w:val="28"/>
          <w:sz w:val="32"/>
        </w:rPr>
        <w:t>z</w:t>
      </w:r>
      <w:r w:rsidR="004012B5" w:rsidRPr="004012B5">
        <w:rPr>
          <w:b/>
          <w:kern w:val="28"/>
          <w:sz w:val="32"/>
        </w:rPr>
        <w:t xml:space="preserve">iņošanas un pārredzamības </w:t>
      </w:r>
      <w:r w:rsidR="00BA4503" w:rsidRPr="004012B5">
        <w:rPr>
          <w:b/>
          <w:kern w:val="28"/>
          <w:sz w:val="32"/>
        </w:rPr>
        <w:t xml:space="preserve">prasību izpildi, </w:t>
      </w:r>
      <w:r>
        <w:rPr>
          <w:b/>
          <w:kern w:val="28"/>
          <w:sz w:val="32"/>
        </w:rPr>
        <w:br/>
      </w:r>
      <w:r w:rsidR="00BA4503" w:rsidRPr="004012B5">
        <w:rPr>
          <w:b/>
          <w:kern w:val="28"/>
          <w:sz w:val="32"/>
        </w:rPr>
        <w:t>kas izriet no Finanšu instrumentu tirgu regulas (</w:t>
      </w:r>
      <w:proofErr w:type="spellStart"/>
      <w:r w:rsidR="00BA4503" w:rsidRPr="004012B5">
        <w:rPr>
          <w:b/>
          <w:kern w:val="28"/>
          <w:sz w:val="32"/>
        </w:rPr>
        <w:t>MiFIR</w:t>
      </w:r>
      <w:proofErr w:type="spellEnd"/>
      <w:r w:rsidR="00BA4503" w:rsidRPr="004012B5">
        <w:rPr>
          <w:b/>
          <w:kern w:val="28"/>
          <w:sz w:val="32"/>
        </w:rPr>
        <w:t xml:space="preserve">) </w:t>
      </w:r>
    </w:p>
    <w:p w:rsidR="00846CA2" w:rsidRPr="004012B5" w:rsidRDefault="00846CA2" w:rsidP="00BA4503"/>
    <w:p w:rsidR="002222D3" w:rsidRPr="004012B5" w:rsidRDefault="00B864B5" w:rsidP="00BA4503">
      <w:pPr>
        <w:rPr>
          <w:szCs w:val="24"/>
        </w:rPr>
      </w:pPr>
      <w:r w:rsidRPr="004012B5">
        <w:t xml:space="preserve">Finanšu un kapitāla tirgus komisija (turpmāk – </w:t>
      </w:r>
      <w:r w:rsidR="00C404AD" w:rsidRPr="004012B5">
        <w:t>FKTK</w:t>
      </w:r>
      <w:r w:rsidRPr="004012B5">
        <w:t>)</w:t>
      </w:r>
      <w:r w:rsidR="000F3CC1" w:rsidRPr="004012B5">
        <w:t xml:space="preserve"> </w:t>
      </w:r>
      <w:r w:rsidR="00272442" w:rsidRPr="004012B5">
        <w:rPr>
          <w:szCs w:val="24"/>
        </w:rPr>
        <w:t>vērš uzmanību, ka</w:t>
      </w:r>
      <w:r w:rsidR="00FB65FA" w:rsidRPr="004012B5">
        <w:rPr>
          <w:szCs w:val="24"/>
        </w:rPr>
        <w:t xml:space="preserve"> </w:t>
      </w:r>
      <w:r w:rsidR="00F37565" w:rsidRPr="004012B5">
        <w:rPr>
          <w:szCs w:val="24"/>
        </w:rPr>
        <w:t xml:space="preserve">tālāk norādītie </w:t>
      </w:r>
      <w:r w:rsidR="00FB65FA" w:rsidRPr="004012B5">
        <w:rPr>
          <w:szCs w:val="24"/>
        </w:rPr>
        <w:t xml:space="preserve">Eiropas Savienības tiesību akti ir tieši piemērojami un neparedz </w:t>
      </w:r>
      <w:r w:rsidR="003B2EB0" w:rsidRPr="004012B5">
        <w:rPr>
          <w:szCs w:val="24"/>
        </w:rPr>
        <w:t xml:space="preserve">FKTK </w:t>
      </w:r>
      <w:r w:rsidR="00FB65FA" w:rsidRPr="004012B5">
        <w:rPr>
          <w:szCs w:val="24"/>
        </w:rPr>
        <w:t>tiesības sniegt oficiālu tiesību normu skaidrojumu</w:t>
      </w:r>
      <w:r w:rsidR="002222D3" w:rsidRPr="004012B5">
        <w:rPr>
          <w:szCs w:val="24"/>
        </w:rPr>
        <w:t>:</w:t>
      </w:r>
    </w:p>
    <w:p w:rsidR="004E3100" w:rsidRPr="00371C99" w:rsidRDefault="004E3100" w:rsidP="004E3100">
      <w:pPr>
        <w:pStyle w:val="Teksts1"/>
        <w:numPr>
          <w:ilvl w:val="0"/>
          <w:numId w:val="24"/>
        </w:numPr>
        <w:spacing w:after="0"/>
        <w:rPr>
          <w:szCs w:val="24"/>
        </w:rPr>
      </w:pPr>
      <w:r w:rsidRPr="00371C99">
        <w:rPr>
          <w:szCs w:val="24"/>
        </w:rPr>
        <w:t>Komisijas Deleģētā regula (ES) Nr.</w:t>
      </w:r>
      <w:r>
        <w:rPr>
          <w:szCs w:val="24"/>
        </w:rPr>
        <w:t> </w:t>
      </w:r>
      <w:r w:rsidRPr="00371C99">
        <w:rPr>
          <w:szCs w:val="24"/>
        </w:rPr>
        <w:t xml:space="preserve">2017/565, ar ko papildina Eiropas Parlamenta un Padomes Direktīvu 2014/65/ES (turpmāk – </w:t>
      </w:r>
      <w:proofErr w:type="spellStart"/>
      <w:r w:rsidR="005656E6">
        <w:rPr>
          <w:szCs w:val="24"/>
        </w:rPr>
        <w:t>M</w:t>
      </w:r>
      <w:r w:rsidR="00B92E21">
        <w:rPr>
          <w:szCs w:val="24"/>
        </w:rPr>
        <w:t>i</w:t>
      </w:r>
      <w:r w:rsidR="005656E6">
        <w:rPr>
          <w:szCs w:val="24"/>
        </w:rPr>
        <w:t>FID</w:t>
      </w:r>
      <w:proofErr w:type="spellEnd"/>
      <w:r w:rsidRPr="00371C99">
        <w:rPr>
          <w:szCs w:val="24"/>
        </w:rPr>
        <w:t xml:space="preserve"> II) attiecībā uz ieguldījumu brokeru sabiedrību organizatoriskām prasībām un darbības nosacījumiem un jēdzienu definīcijām minētās direktīvas mērķiem, </w:t>
      </w:r>
    </w:p>
    <w:p w:rsidR="00447AA0" w:rsidRPr="004E3100" w:rsidRDefault="00447AA0" w:rsidP="00447AA0">
      <w:pPr>
        <w:pStyle w:val="Teksts1"/>
        <w:numPr>
          <w:ilvl w:val="0"/>
          <w:numId w:val="24"/>
        </w:numPr>
        <w:spacing w:after="0"/>
        <w:rPr>
          <w:szCs w:val="24"/>
        </w:rPr>
      </w:pPr>
      <w:r w:rsidRPr="004E3100">
        <w:rPr>
          <w:szCs w:val="24"/>
        </w:rPr>
        <w:t xml:space="preserve">Komisijas Deleģētā regula (ES) Nr. 2017/590, ar ko Eiropas Parlamenta un Padomes Regulu (ES) Nr. 600/2014 papildina attiecībā uz regulatīvajiem tehniskajiem standartiem ziņošanai par darījumiem kompetentajām iestādēm (turpmāk – Regula Nr. 2017/590), </w:t>
      </w:r>
    </w:p>
    <w:p w:rsidR="00C224CB" w:rsidRPr="004E3100" w:rsidRDefault="00DB0970" w:rsidP="00371C99">
      <w:pPr>
        <w:pStyle w:val="Teksts1"/>
        <w:numPr>
          <w:ilvl w:val="0"/>
          <w:numId w:val="24"/>
        </w:numPr>
        <w:spacing w:after="0"/>
        <w:rPr>
          <w:szCs w:val="24"/>
        </w:rPr>
      </w:pPr>
      <w:r w:rsidRPr="004E3100">
        <w:rPr>
          <w:szCs w:val="24"/>
        </w:rPr>
        <w:t xml:space="preserve">Eiropas Parlamenta un Padomes </w:t>
      </w:r>
      <w:r w:rsidR="00F37565" w:rsidRPr="004E3100">
        <w:rPr>
          <w:szCs w:val="24"/>
        </w:rPr>
        <w:t>R</w:t>
      </w:r>
      <w:r w:rsidR="003B2EB0" w:rsidRPr="004E3100">
        <w:rPr>
          <w:szCs w:val="24"/>
        </w:rPr>
        <w:t xml:space="preserve">egula </w:t>
      </w:r>
      <w:r w:rsidR="00C404AD" w:rsidRPr="004E3100">
        <w:rPr>
          <w:szCs w:val="24"/>
        </w:rPr>
        <w:t>(ES)</w:t>
      </w:r>
      <w:r w:rsidRPr="004E3100">
        <w:rPr>
          <w:szCs w:val="24"/>
        </w:rPr>
        <w:t xml:space="preserve"> Nr. 600/2014 par finanšu instrumentu tirgiem un ar ko groza Regulu</w:t>
      </w:r>
      <w:r w:rsidR="00C404AD" w:rsidRPr="004E3100">
        <w:rPr>
          <w:szCs w:val="24"/>
        </w:rPr>
        <w:t xml:space="preserve"> (ES)</w:t>
      </w:r>
      <w:r w:rsidRPr="004E3100">
        <w:rPr>
          <w:szCs w:val="24"/>
        </w:rPr>
        <w:t xml:space="preserve"> Nr. 648/2012 (turpmāk – </w:t>
      </w:r>
      <w:proofErr w:type="spellStart"/>
      <w:r w:rsidRPr="004E3100">
        <w:rPr>
          <w:szCs w:val="24"/>
        </w:rPr>
        <w:t>MiFIR</w:t>
      </w:r>
      <w:proofErr w:type="spellEnd"/>
      <w:r w:rsidR="00A737E5" w:rsidRPr="004E3100">
        <w:rPr>
          <w:szCs w:val="24"/>
        </w:rPr>
        <w:t xml:space="preserve"> regula</w:t>
      </w:r>
      <w:r w:rsidR="00371C99" w:rsidRPr="004E3100">
        <w:rPr>
          <w:szCs w:val="24"/>
        </w:rPr>
        <w:t>)</w:t>
      </w:r>
      <w:r w:rsidR="00781642" w:rsidRPr="004E3100">
        <w:rPr>
          <w:szCs w:val="24"/>
        </w:rPr>
        <w:t>,</w:t>
      </w:r>
    </w:p>
    <w:p w:rsidR="00B54C04" w:rsidRPr="004E3100" w:rsidRDefault="00B54C04" w:rsidP="00B54C04">
      <w:pPr>
        <w:pStyle w:val="Teksts1"/>
        <w:numPr>
          <w:ilvl w:val="0"/>
          <w:numId w:val="24"/>
        </w:numPr>
        <w:spacing w:after="0"/>
        <w:rPr>
          <w:szCs w:val="24"/>
        </w:rPr>
      </w:pPr>
      <w:r w:rsidRPr="004E3100">
        <w:rPr>
          <w:color w:val="000000"/>
          <w:szCs w:val="24"/>
          <w:lang w:eastAsia="lv-LV"/>
        </w:rPr>
        <w:t xml:space="preserve">Eiropas Parlamenta un Padomes Regula (ES) 2015/2365 par vērtspapīru finansēšanas darījumu un </w:t>
      </w:r>
      <w:proofErr w:type="spellStart"/>
      <w:r w:rsidRPr="004E3100">
        <w:rPr>
          <w:color w:val="000000"/>
          <w:szCs w:val="24"/>
          <w:lang w:eastAsia="lv-LV"/>
        </w:rPr>
        <w:t>atkalizmantošanas</w:t>
      </w:r>
      <w:proofErr w:type="spellEnd"/>
      <w:r w:rsidRPr="004E3100">
        <w:rPr>
          <w:color w:val="000000"/>
          <w:szCs w:val="24"/>
          <w:lang w:eastAsia="lv-LV"/>
        </w:rPr>
        <w:t xml:space="preserve"> pārredzamību un ar ko groza Regulu (ES) Nr. 648/2012 (</w:t>
      </w:r>
      <w:r w:rsidRPr="004E3100">
        <w:rPr>
          <w:szCs w:val="24"/>
        </w:rPr>
        <w:t xml:space="preserve">turpmāk – </w:t>
      </w:r>
      <w:r w:rsidRPr="004E3100">
        <w:rPr>
          <w:color w:val="000000"/>
          <w:szCs w:val="24"/>
          <w:lang w:eastAsia="lv-LV"/>
        </w:rPr>
        <w:t>Regula Nr. 2015/2365).</w:t>
      </w:r>
    </w:p>
    <w:p w:rsidR="00064003" w:rsidRPr="004012B5" w:rsidRDefault="00064003" w:rsidP="00064003">
      <w:pPr>
        <w:pStyle w:val="Teksts1"/>
        <w:spacing w:after="0"/>
        <w:ind w:left="360"/>
        <w:rPr>
          <w:szCs w:val="24"/>
        </w:rPr>
      </w:pPr>
    </w:p>
    <w:p w:rsidR="00BA4503" w:rsidRPr="004012B5" w:rsidRDefault="00B54C04" w:rsidP="00266186">
      <w:pPr>
        <w:pStyle w:val="Teksts1"/>
        <w:rPr>
          <w:szCs w:val="24"/>
        </w:rPr>
      </w:pPr>
      <w:r w:rsidRPr="004012B5">
        <w:rPr>
          <w:szCs w:val="24"/>
        </w:rPr>
        <w:t xml:space="preserve">Lai nodrošinātu regulējuma prasību konsekventu piemērošanu un sniegtu norādījumus tirgus dalībniekiem par atbilstību prasībām, Eiropas Vērtspapīru un tirgu iestāde (turpmāk – EVTI) ir izstrādājusi pamatnostādnes "Ziņošana par darījumiem, rīkojumu uzskaite un pulksteņu sinhronizācija saskaņā ar </w:t>
      </w:r>
      <w:proofErr w:type="spellStart"/>
      <w:r w:rsidR="005656E6">
        <w:rPr>
          <w:szCs w:val="24"/>
        </w:rPr>
        <w:t>M</w:t>
      </w:r>
      <w:r w:rsidR="00B92E21">
        <w:rPr>
          <w:szCs w:val="24"/>
        </w:rPr>
        <w:t>i</w:t>
      </w:r>
      <w:r w:rsidR="005656E6">
        <w:rPr>
          <w:szCs w:val="24"/>
        </w:rPr>
        <w:t>FID</w:t>
      </w:r>
      <w:proofErr w:type="spellEnd"/>
      <w:r w:rsidRPr="004012B5">
        <w:rPr>
          <w:szCs w:val="24"/>
        </w:rPr>
        <w:t xml:space="preserve"> II" (turpmāk – Pamatnostādnes</w:t>
      </w:r>
      <w:r w:rsidR="008B5D5A">
        <w:rPr>
          <w:szCs w:val="24"/>
        </w:rPr>
        <w:t>)</w:t>
      </w:r>
      <w:r w:rsidRPr="004012B5">
        <w:rPr>
          <w:szCs w:val="24"/>
        </w:rPr>
        <w:t xml:space="preserve">, kas pieejamas EVTI mājaslapā: </w:t>
      </w:r>
      <w:hyperlink r:id="rId9" w:history="1">
        <w:r w:rsidR="00FC249A" w:rsidRPr="004012B5">
          <w:rPr>
            <w:rStyle w:val="Hyperlink"/>
            <w:szCs w:val="24"/>
          </w:rPr>
          <w:t>https://www.esma.europa.eu/document/guidelines-transaction-reporting-order-record-keeping-and-clock-synchronisation-under-mifid</w:t>
        </w:r>
      </w:hyperlink>
      <w:r w:rsidRPr="004012B5">
        <w:rPr>
          <w:szCs w:val="24"/>
        </w:rPr>
        <w:t>)</w:t>
      </w:r>
      <w:r w:rsidR="008B5D5A">
        <w:rPr>
          <w:szCs w:val="24"/>
        </w:rPr>
        <w:t>.</w:t>
      </w:r>
      <w:r w:rsidRPr="004012B5">
        <w:rPr>
          <w:szCs w:val="24"/>
        </w:rPr>
        <w:t xml:space="preserve"> </w:t>
      </w:r>
      <w:r w:rsidR="008B5D5A">
        <w:rPr>
          <w:szCs w:val="24"/>
        </w:rPr>
        <w:t>L</w:t>
      </w:r>
      <w:r w:rsidRPr="004012B5">
        <w:rPr>
          <w:szCs w:val="24"/>
        </w:rPr>
        <w:t xml:space="preserve">ai </w:t>
      </w:r>
      <w:r w:rsidR="00F37565" w:rsidRPr="004012B5">
        <w:rPr>
          <w:szCs w:val="24"/>
        </w:rPr>
        <w:t>konsekventi piemērotu m</w:t>
      </w:r>
      <w:r w:rsidR="00266186" w:rsidRPr="004012B5">
        <w:rPr>
          <w:szCs w:val="24"/>
        </w:rPr>
        <w:t>inēto</w:t>
      </w:r>
      <w:r w:rsidR="00F37565" w:rsidRPr="004012B5">
        <w:rPr>
          <w:szCs w:val="24"/>
        </w:rPr>
        <w:t>s</w:t>
      </w:r>
      <w:r w:rsidR="00266186" w:rsidRPr="004012B5">
        <w:rPr>
          <w:szCs w:val="24"/>
        </w:rPr>
        <w:t xml:space="preserve"> tiesību aktu</w:t>
      </w:r>
      <w:r w:rsidR="00F37565" w:rsidRPr="004012B5">
        <w:rPr>
          <w:szCs w:val="24"/>
        </w:rPr>
        <w:t>s</w:t>
      </w:r>
      <w:r w:rsidR="00266186" w:rsidRPr="004012B5">
        <w:rPr>
          <w:szCs w:val="24"/>
        </w:rPr>
        <w:t xml:space="preserve"> Latvijas finanšu sektor</w:t>
      </w:r>
      <w:r w:rsidR="00852831" w:rsidRPr="004012B5">
        <w:rPr>
          <w:szCs w:val="24"/>
        </w:rPr>
        <w:t>am</w:t>
      </w:r>
      <w:r w:rsidR="00266186" w:rsidRPr="004012B5">
        <w:rPr>
          <w:szCs w:val="24"/>
        </w:rPr>
        <w:t xml:space="preserve">, </w:t>
      </w:r>
      <w:r w:rsidR="00447AA0" w:rsidRPr="004012B5">
        <w:t>FKTK</w:t>
      </w:r>
      <w:r w:rsidR="00447AA0" w:rsidRPr="004012B5">
        <w:rPr>
          <w:szCs w:val="24"/>
        </w:rPr>
        <w:t xml:space="preserve"> </w:t>
      </w:r>
      <w:r w:rsidR="00D961E7" w:rsidRPr="004012B5">
        <w:rPr>
          <w:szCs w:val="24"/>
        </w:rPr>
        <w:t>pauž savu viedokli</w:t>
      </w:r>
      <w:r w:rsidR="00EC57F8" w:rsidRPr="004012B5">
        <w:rPr>
          <w:szCs w:val="24"/>
        </w:rPr>
        <w:t>, atbildot uz</w:t>
      </w:r>
      <w:r w:rsidR="00D961E7" w:rsidRPr="004012B5">
        <w:rPr>
          <w:szCs w:val="24"/>
        </w:rPr>
        <w:t xml:space="preserve"> </w:t>
      </w:r>
      <w:r w:rsidR="008B5D5A">
        <w:rPr>
          <w:szCs w:val="24"/>
        </w:rPr>
        <w:t>šādiem</w:t>
      </w:r>
      <w:r w:rsidR="008B5D5A" w:rsidRPr="004012B5">
        <w:rPr>
          <w:szCs w:val="24"/>
        </w:rPr>
        <w:t xml:space="preserve"> </w:t>
      </w:r>
      <w:r w:rsidR="00D961E7" w:rsidRPr="004012B5">
        <w:rPr>
          <w:szCs w:val="24"/>
        </w:rPr>
        <w:t>finanšu tirgus dalībniek</w:t>
      </w:r>
      <w:r w:rsidR="00EC57F8" w:rsidRPr="004012B5">
        <w:rPr>
          <w:szCs w:val="24"/>
        </w:rPr>
        <w:t>u uzdotajiem</w:t>
      </w:r>
      <w:r w:rsidR="00D961E7" w:rsidRPr="004012B5">
        <w:rPr>
          <w:szCs w:val="24"/>
        </w:rPr>
        <w:t xml:space="preserve"> jautājumiem.</w:t>
      </w:r>
    </w:p>
    <w:p w:rsidR="002C3191" w:rsidRDefault="002C3191" w:rsidP="002C3191">
      <w:pPr>
        <w:autoSpaceDE w:val="0"/>
        <w:autoSpaceDN w:val="0"/>
        <w:adjustRightInd w:val="0"/>
        <w:rPr>
          <w:b/>
          <w:szCs w:val="24"/>
        </w:rPr>
      </w:pPr>
      <w:r w:rsidRPr="00923BC8">
        <w:rPr>
          <w:b/>
          <w:color w:val="000000" w:themeColor="text1"/>
          <w:szCs w:val="24"/>
        </w:rPr>
        <w:t xml:space="preserve">1. </w:t>
      </w:r>
      <w:r>
        <w:rPr>
          <w:b/>
          <w:color w:val="000000" w:themeColor="text1"/>
          <w:szCs w:val="24"/>
        </w:rPr>
        <w:t>j</w:t>
      </w:r>
      <w:r w:rsidRPr="00923BC8">
        <w:rPr>
          <w:b/>
          <w:color w:val="000000" w:themeColor="text1"/>
          <w:szCs w:val="24"/>
          <w:u w:val="single"/>
        </w:rPr>
        <w:t>autājums:</w:t>
      </w:r>
      <w:r w:rsidRPr="00923BC8">
        <w:rPr>
          <w:b/>
          <w:color w:val="000000" w:themeColor="text1"/>
          <w:szCs w:val="24"/>
        </w:rPr>
        <w:t xml:space="preserve"> </w:t>
      </w:r>
      <w:r w:rsidRPr="00923BC8">
        <w:rPr>
          <w:b/>
          <w:szCs w:val="24"/>
        </w:rPr>
        <w:t xml:space="preserve">Ja klientu vārdā rīkojumu brokerim sniedz </w:t>
      </w:r>
      <w:r w:rsidR="001638A9">
        <w:rPr>
          <w:b/>
          <w:szCs w:val="24"/>
        </w:rPr>
        <w:t>i</w:t>
      </w:r>
      <w:r>
        <w:rPr>
          <w:b/>
          <w:szCs w:val="24"/>
        </w:rPr>
        <w:t xml:space="preserve">eguldījumu </w:t>
      </w:r>
      <w:r w:rsidR="001638A9">
        <w:rPr>
          <w:b/>
          <w:szCs w:val="24"/>
        </w:rPr>
        <w:t>p</w:t>
      </w:r>
      <w:r>
        <w:rPr>
          <w:b/>
          <w:szCs w:val="24"/>
        </w:rPr>
        <w:t xml:space="preserve">ārvaldes </w:t>
      </w:r>
      <w:r w:rsidR="001638A9">
        <w:rPr>
          <w:b/>
          <w:szCs w:val="24"/>
        </w:rPr>
        <w:t>s</w:t>
      </w:r>
      <w:r>
        <w:rPr>
          <w:b/>
          <w:szCs w:val="24"/>
        </w:rPr>
        <w:t>abiedrība</w:t>
      </w:r>
      <w:r w:rsidR="003111EB">
        <w:rPr>
          <w:b/>
          <w:szCs w:val="24"/>
        </w:rPr>
        <w:t>s</w:t>
      </w:r>
      <w:r>
        <w:rPr>
          <w:b/>
          <w:szCs w:val="24"/>
        </w:rPr>
        <w:t xml:space="preserve"> </w:t>
      </w:r>
      <w:r w:rsidR="003111EB">
        <w:rPr>
          <w:b/>
          <w:szCs w:val="24"/>
        </w:rPr>
        <w:t>(turpmāk arī</w:t>
      </w:r>
      <w:r w:rsidR="00B92E21">
        <w:rPr>
          <w:b/>
          <w:szCs w:val="24"/>
        </w:rPr>
        <w:t> –</w:t>
      </w:r>
      <w:r w:rsidR="003111EB">
        <w:rPr>
          <w:b/>
          <w:szCs w:val="24"/>
        </w:rPr>
        <w:t xml:space="preserve"> IPAS) </w:t>
      </w:r>
      <w:r w:rsidRPr="00923BC8">
        <w:rPr>
          <w:b/>
          <w:szCs w:val="24"/>
        </w:rPr>
        <w:t>portfeļu pārvaldnieks (var būt trīs varianti</w:t>
      </w:r>
      <w:r w:rsidR="00B92E21">
        <w:rPr>
          <w:b/>
          <w:szCs w:val="24"/>
        </w:rPr>
        <w:t>,</w:t>
      </w:r>
      <w:r w:rsidRPr="00923BC8">
        <w:rPr>
          <w:b/>
          <w:szCs w:val="24"/>
        </w:rPr>
        <w:t xml:space="preserve"> kā portfeļu pārvaldnieks var sniegt rīkojumus brokerim – vienas iestādes ietvaros, grupas ietvaros vai svešai juridis</w:t>
      </w:r>
      <w:r>
        <w:rPr>
          <w:b/>
          <w:szCs w:val="24"/>
        </w:rPr>
        <w:t xml:space="preserve">kai personai) – kurai pusei ir </w:t>
      </w:r>
      <w:r w:rsidRPr="00923BC8">
        <w:rPr>
          <w:b/>
          <w:szCs w:val="24"/>
        </w:rPr>
        <w:t xml:space="preserve">pienākums ziņot par darījumiem </w:t>
      </w:r>
      <w:r w:rsidRPr="00985853">
        <w:rPr>
          <w:b/>
          <w:szCs w:val="24"/>
        </w:rPr>
        <w:t>atbilstoši Regulas Nr. 600/2014 26. panta</w:t>
      </w:r>
      <w:r w:rsidRPr="00923BC8">
        <w:rPr>
          <w:b/>
          <w:szCs w:val="24"/>
        </w:rPr>
        <w:t xml:space="preserve"> 2. punktam</w:t>
      </w:r>
      <w:r>
        <w:rPr>
          <w:b/>
          <w:szCs w:val="24"/>
        </w:rPr>
        <w:t xml:space="preserve"> </w:t>
      </w:r>
      <w:r w:rsidRPr="00052BD8">
        <w:rPr>
          <w:b/>
          <w:szCs w:val="24"/>
        </w:rPr>
        <w:t>(</w:t>
      </w:r>
      <w:proofErr w:type="spellStart"/>
      <w:r w:rsidRPr="00923BC8">
        <w:rPr>
          <w:b/>
          <w:i/>
          <w:szCs w:val="24"/>
        </w:rPr>
        <w:t>transaction</w:t>
      </w:r>
      <w:proofErr w:type="spellEnd"/>
      <w:r w:rsidRPr="00923BC8">
        <w:rPr>
          <w:b/>
          <w:i/>
          <w:szCs w:val="24"/>
        </w:rPr>
        <w:t xml:space="preserve"> </w:t>
      </w:r>
      <w:proofErr w:type="spellStart"/>
      <w:r w:rsidRPr="00923BC8">
        <w:rPr>
          <w:b/>
          <w:i/>
          <w:szCs w:val="24"/>
        </w:rPr>
        <w:t>reporting</w:t>
      </w:r>
      <w:proofErr w:type="spellEnd"/>
      <w:r w:rsidRPr="00052BD8">
        <w:rPr>
          <w:b/>
          <w:szCs w:val="24"/>
        </w:rPr>
        <w:t>) un publicēt informāciju</w:t>
      </w:r>
      <w:r w:rsidR="00B92E21">
        <w:rPr>
          <w:b/>
          <w:szCs w:val="24"/>
        </w:rPr>
        <w:t>, izmantojot</w:t>
      </w:r>
      <w:r w:rsidRPr="00052BD8">
        <w:rPr>
          <w:b/>
          <w:szCs w:val="24"/>
        </w:rPr>
        <w:t xml:space="preserve"> </w:t>
      </w:r>
      <w:r>
        <w:rPr>
          <w:b/>
          <w:szCs w:val="24"/>
        </w:rPr>
        <w:t>apstiprinātu publicēšanas struktūru</w:t>
      </w:r>
      <w:r w:rsidRPr="00052BD8">
        <w:rPr>
          <w:b/>
          <w:szCs w:val="24"/>
        </w:rPr>
        <w:t xml:space="preserve"> (</w:t>
      </w:r>
      <w:r w:rsidRPr="00923BC8">
        <w:rPr>
          <w:b/>
          <w:szCs w:val="24"/>
        </w:rPr>
        <w:t xml:space="preserve">atbilstoši </w:t>
      </w:r>
      <w:r w:rsidRPr="00985853">
        <w:rPr>
          <w:b/>
          <w:szCs w:val="24"/>
        </w:rPr>
        <w:t>Regulas Nr.</w:t>
      </w:r>
      <w:r w:rsidR="00B92E21">
        <w:rPr>
          <w:b/>
          <w:szCs w:val="24"/>
        </w:rPr>
        <w:t> </w:t>
      </w:r>
      <w:r w:rsidRPr="00985853">
        <w:rPr>
          <w:b/>
          <w:szCs w:val="24"/>
        </w:rPr>
        <w:t xml:space="preserve">600/2014 </w:t>
      </w:r>
      <w:r w:rsidRPr="00052BD8">
        <w:rPr>
          <w:b/>
          <w:szCs w:val="24"/>
        </w:rPr>
        <w:t>8</w:t>
      </w:r>
      <w:r w:rsidR="00B92E21">
        <w:rPr>
          <w:b/>
          <w:szCs w:val="24"/>
        </w:rPr>
        <w:t>.–</w:t>
      </w:r>
      <w:r w:rsidRPr="00052BD8">
        <w:rPr>
          <w:b/>
          <w:szCs w:val="24"/>
        </w:rPr>
        <w:t>11</w:t>
      </w:r>
      <w:r>
        <w:rPr>
          <w:b/>
          <w:szCs w:val="24"/>
        </w:rPr>
        <w:t xml:space="preserve">., </w:t>
      </w:r>
      <w:r w:rsidRPr="00052BD8">
        <w:rPr>
          <w:b/>
          <w:szCs w:val="24"/>
        </w:rPr>
        <w:t>18</w:t>
      </w:r>
      <w:r>
        <w:rPr>
          <w:b/>
          <w:szCs w:val="24"/>
        </w:rPr>
        <w:t xml:space="preserve">. un </w:t>
      </w:r>
      <w:r w:rsidRPr="00052BD8">
        <w:rPr>
          <w:b/>
          <w:szCs w:val="24"/>
        </w:rPr>
        <w:t>21</w:t>
      </w:r>
      <w:r>
        <w:rPr>
          <w:b/>
          <w:szCs w:val="24"/>
        </w:rPr>
        <w:t>. pant</w:t>
      </w:r>
      <w:r w:rsidR="00B92E21">
        <w:rPr>
          <w:b/>
          <w:szCs w:val="24"/>
        </w:rPr>
        <w:t>a</w:t>
      </w:r>
      <w:r>
        <w:rPr>
          <w:b/>
          <w:szCs w:val="24"/>
        </w:rPr>
        <w:t>m</w:t>
      </w:r>
      <w:r w:rsidRPr="00052BD8">
        <w:rPr>
          <w:b/>
          <w:szCs w:val="24"/>
        </w:rPr>
        <w:t>)?</w:t>
      </w:r>
    </w:p>
    <w:p w:rsidR="002C3191" w:rsidRDefault="002C3191" w:rsidP="002C3191">
      <w:pPr>
        <w:autoSpaceDE w:val="0"/>
        <w:autoSpaceDN w:val="0"/>
        <w:adjustRightInd w:val="0"/>
        <w:rPr>
          <w:b/>
          <w:szCs w:val="24"/>
        </w:rPr>
      </w:pPr>
    </w:p>
    <w:p w:rsidR="001638A9" w:rsidRDefault="002C3191" w:rsidP="002C3191">
      <w:pPr>
        <w:autoSpaceDE w:val="0"/>
        <w:autoSpaceDN w:val="0"/>
        <w:adjustRightInd w:val="0"/>
        <w:rPr>
          <w:color w:val="000000" w:themeColor="text1"/>
          <w:szCs w:val="24"/>
        </w:rPr>
      </w:pPr>
      <w:r w:rsidRPr="001F6283">
        <w:rPr>
          <w:b/>
          <w:color w:val="000000" w:themeColor="text1"/>
          <w:szCs w:val="24"/>
          <w:u w:val="single"/>
        </w:rPr>
        <w:t>Atbilde</w:t>
      </w:r>
      <w:r w:rsidRPr="001F6283">
        <w:rPr>
          <w:color w:val="000000" w:themeColor="text1"/>
          <w:szCs w:val="24"/>
          <w:u w:val="single"/>
        </w:rPr>
        <w:t>:</w:t>
      </w:r>
      <w:r w:rsidRPr="001F6283">
        <w:rPr>
          <w:color w:val="000000" w:themeColor="text1"/>
          <w:szCs w:val="24"/>
        </w:rPr>
        <w:t xml:space="preserve"> </w:t>
      </w:r>
      <w:r>
        <w:rPr>
          <w:color w:val="000000" w:themeColor="text1"/>
          <w:szCs w:val="24"/>
        </w:rPr>
        <w:t xml:space="preserve">Saskaņā ar </w:t>
      </w:r>
      <w:proofErr w:type="spellStart"/>
      <w:r>
        <w:rPr>
          <w:color w:val="000000" w:themeColor="text1"/>
          <w:szCs w:val="24"/>
        </w:rPr>
        <w:t>MiFIR</w:t>
      </w:r>
      <w:proofErr w:type="spellEnd"/>
      <w:r>
        <w:rPr>
          <w:color w:val="000000" w:themeColor="text1"/>
          <w:szCs w:val="24"/>
        </w:rPr>
        <w:t xml:space="preserve"> 1. panta 2. punktu regula attiecas tikai uz tādiem ieguldījumu pakalpojumu sniedzējiem, kas ir </w:t>
      </w:r>
      <w:r w:rsidR="004A2193">
        <w:rPr>
          <w:color w:val="000000" w:themeColor="text1"/>
          <w:szCs w:val="24"/>
        </w:rPr>
        <w:t>saņēmuši licenci</w:t>
      </w:r>
      <w:r>
        <w:rPr>
          <w:color w:val="000000" w:themeColor="text1"/>
          <w:szCs w:val="24"/>
        </w:rPr>
        <w:t xml:space="preserve"> atbilstoši </w:t>
      </w:r>
      <w:proofErr w:type="spellStart"/>
      <w:r>
        <w:rPr>
          <w:color w:val="000000" w:themeColor="text1"/>
          <w:szCs w:val="24"/>
        </w:rPr>
        <w:t>MiFID</w:t>
      </w:r>
      <w:proofErr w:type="spellEnd"/>
      <w:r w:rsidR="00B92E21">
        <w:rPr>
          <w:color w:val="000000" w:themeColor="text1"/>
          <w:szCs w:val="24"/>
        </w:rPr>
        <w:t> </w:t>
      </w:r>
      <w:r>
        <w:rPr>
          <w:color w:val="000000" w:themeColor="text1"/>
          <w:szCs w:val="24"/>
        </w:rPr>
        <w:t xml:space="preserve">II direktīvai vai kredītiestādes darbību regulējošai </w:t>
      </w:r>
      <w:r w:rsidR="001638A9" w:rsidRPr="00371C99">
        <w:rPr>
          <w:szCs w:val="24"/>
        </w:rPr>
        <w:t>Eiropas Parlamenta un Padomes Direktīv</w:t>
      </w:r>
      <w:r w:rsidR="001638A9">
        <w:rPr>
          <w:szCs w:val="24"/>
        </w:rPr>
        <w:t>ai</w:t>
      </w:r>
      <w:r w:rsidR="001638A9" w:rsidRPr="00371C99">
        <w:rPr>
          <w:szCs w:val="24"/>
        </w:rPr>
        <w:t xml:space="preserve"> </w:t>
      </w:r>
      <w:r w:rsidR="001638A9">
        <w:rPr>
          <w:color w:val="000000" w:themeColor="text1"/>
          <w:szCs w:val="24"/>
        </w:rPr>
        <w:t xml:space="preserve">2013/36/ES. </w:t>
      </w:r>
    </w:p>
    <w:p w:rsidR="001638A9" w:rsidRDefault="001638A9" w:rsidP="002C3191">
      <w:pPr>
        <w:autoSpaceDE w:val="0"/>
        <w:autoSpaceDN w:val="0"/>
        <w:adjustRightInd w:val="0"/>
        <w:rPr>
          <w:color w:val="000000" w:themeColor="text1"/>
          <w:szCs w:val="24"/>
        </w:rPr>
      </w:pPr>
    </w:p>
    <w:p w:rsidR="002C3191" w:rsidRDefault="001638A9" w:rsidP="002C3191">
      <w:pPr>
        <w:autoSpaceDE w:val="0"/>
        <w:autoSpaceDN w:val="0"/>
        <w:adjustRightInd w:val="0"/>
        <w:rPr>
          <w:color w:val="000000" w:themeColor="text1"/>
          <w:szCs w:val="24"/>
        </w:rPr>
      </w:pPr>
      <w:r>
        <w:rPr>
          <w:color w:val="000000" w:themeColor="text1"/>
          <w:szCs w:val="24"/>
        </w:rPr>
        <w:t>Savukārt IPAS kā ieguldījumu fondu vai alternatīvo ieguldījumu fondu pārvaldnieki ir saņ</w:t>
      </w:r>
      <w:r w:rsidR="00B92E21">
        <w:rPr>
          <w:color w:val="000000" w:themeColor="text1"/>
          <w:szCs w:val="24"/>
        </w:rPr>
        <w:t>ē</w:t>
      </w:r>
      <w:r>
        <w:rPr>
          <w:color w:val="000000" w:themeColor="text1"/>
          <w:szCs w:val="24"/>
        </w:rPr>
        <w:t>mu</w:t>
      </w:r>
      <w:r w:rsidR="00B92E21">
        <w:rPr>
          <w:color w:val="000000" w:themeColor="text1"/>
          <w:szCs w:val="24"/>
        </w:rPr>
        <w:t>š</w:t>
      </w:r>
      <w:r>
        <w:rPr>
          <w:color w:val="000000" w:themeColor="text1"/>
          <w:szCs w:val="24"/>
        </w:rPr>
        <w:t xml:space="preserve">i </w:t>
      </w:r>
      <w:r w:rsidR="00D12FEB">
        <w:rPr>
          <w:color w:val="000000" w:themeColor="text1"/>
          <w:szCs w:val="24"/>
        </w:rPr>
        <w:t xml:space="preserve">atļauju </w:t>
      </w:r>
      <w:r>
        <w:rPr>
          <w:color w:val="000000" w:themeColor="text1"/>
          <w:szCs w:val="24"/>
        </w:rPr>
        <w:t xml:space="preserve">atbilstoši </w:t>
      </w:r>
      <w:r w:rsidRPr="00946501">
        <w:rPr>
          <w:i/>
          <w:color w:val="000000" w:themeColor="text1"/>
          <w:szCs w:val="24"/>
        </w:rPr>
        <w:t>UCITS</w:t>
      </w:r>
      <w:r>
        <w:rPr>
          <w:color w:val="000000" w:themeColor="text1"/>
          <w:szCs w:val="24"/>
        </w:rPr>
        <w:t xml:space="preserve"> vai </w:t>
      </w:r>
      <w:r w:rsidRPr="00946501">
        <w:rPr>
          <w:i/>
          <w:color w:val="000000" w:themeColor="text1"/>
          <w:szCs w:val="24"/>
        </w:rPr>
        <w:t>AIF</w:t>
      </w:r>
      <w:r>
        <w:rPr>
          <w:color w:val="000000" w:themeColor="text1"/>
          <w:szCs w:val="24"/>
        </w:rPr>
        <w:t xml:space="preserve"> direktīvām, kuras pieļauj iespēju, ka IPAS vienlaikus sniedz arī noteiktus ieguldījumu pakalpojumus (</w:t>
      </w:r>
      <w:r w:rsidR="003111EB">
        <w:rPr>
          <w:color w:val="000000" w:themeColor="text1"/>
          <w:szCs w:val="24"/>
        </w:rPr>
        <w:t xml:space="preserve">individuālo </w:t>
      </w:r>
      <w:r>
        <w:rPr>
          <w:color w:val="000000" w:themeColor="text1"/>
          <w:szCs w:val="24"/>
        </w:rPr>
        <w:t xml:space="preserve">portfeļu pārvaldīšana un konsultācijas) atbilstoši </w:t>
      </w:r>
      <w:proofErr w:type="spellStart"/>
      <w:r>
        <w:rPr>
          <w:color w:val="000000" w:themeColor="text1"/>
          <w:szCs w:val="24"/>
        </w:rPr>
        <w:t>MiFID</w:t>
      </w:r>
      <w:proofErr w:type="spellEnd"/>
      <w:r w:rsidR="00CF38BD">
        <w:rPr>
          <w:color w:val="000000" w:themeColor="text1"/>
          <w:szCs w:val="24"/>
        </w:rPr>
        <w:t xml:space="preserve"> </w:t>
      </w:r>
      <w:r>
        <w:rPr>
          <w:color w:val="000000" w:themeColor="text1"/>
          <w:szCs w:val="24"/>
        </w:rPr>
        <w:t xml:space="preserve">II prasībām.   </w:t>
      </w:r>
      <w:r w:rsidR="002C3191">
        <w:rPr>
          <w:color w:val="000000" w:themeColor="text1"/>
          <w:szCs w:val="24"/>
        </w:rPr>
        <w:t xml:space="preserve"> </w:t>
      </w:r>
    </w:p>
    <w:p w:rsidR="002C3191" w:rsidRDefault="002C3191" w:rsidP="002C3191">
      <w:pPr>
        <w:autoSpaceDE w:val="0"/>
        <w:autoSpaceDN w:val="0"/>
        <w:adjustRightInd w:val="0"/>
        <w:rPr>
          <w:color w:val="000000" w:themeColor="text1"/>
          <w:szCs w:val="24"/>
        </w:rPr>
      </w:pPr>
    </w:p>
    <w:p w:rsidR="002C3191" w:rsidRDefault="001638A9" w:rsidP="002C3191">
      <w:pPr>
        <w:autoSpaceDE w:val="0"/>
        <w:autoSpaceDN w:val="0"/>
        <w:adjustRightInd w:val="0"/>
        <w:rPr>
          <w:color w:val="000000"/>
          <w:szCs w:val="24"/>
          <w:lang w:eastAsia="lv-LV"/>
        </w:rPr>
      </w:pPr>
      <w:r>
        <w:rPr>
          <w:szCs w:val="24"/>
        </w:rPr>
        <w:t>Līdz ar to p</w:t>
      </w:r>
      <w:r w:rsidR="002C3191" w:rsidRPr="00F3363B">
        <w:rPr>
          <w:szCs w:val="24"/>
        </w:rPr>
        <w:t xml:space="preserve">ienākums ziņot par darījumiem </w:t>
      </w:r>
      <w:r w:rsidR="002C3191">
        <w:rPr>
          <w:szCs w:val="24"/>
        </w:rPr>
        <w:t xml:space="preserve">un publiskot informāciju, izmantojot </w:t>
      </w:r>
      <w:r w:rsidR="002C3191" w:rsidRPr="00297A88">
        <w:rPr>
          <w:szCs w:val="24"/>
        </w:rPr>
        <w:t>apstiprināta</w:t>
      </w:r>
      <w:r w:rsidR="002C3191">
        <w:rPr>
          <w:szCs w:val="24"/>
        </w:rPr>
        <w:t>s</w:t>
      </w:r>
      <w:r w:rsidR="002C3191" w:rsidRPr="00297A88">
        <w:rPr>
          <w:szCs w:val="24"/>
        </w:rPr>
        <w:t xml:space="preserve"> publicēšanas struktūra</w:t>
      </w:r>
      <w:r w:rsidR="002C3191">
        <w:rPr>
          <w:szCs w:val="24"/>
        </w:rPr>
        <w:t>s jeb APS (angliski</w:t>
      </w:r>
      <w:r w:rsidR="00D12FEB">
        <w:rPr>
          <w:szCs w:val="24"/>
        </w:rPr>
        <w:t> –</w:t>
      </w:r>
      <w:r w:rsidR="002C3191">
        <w:rPr>
          <w:szCs w:val="24"/>
        </w:rPr>
        <w:t xml:space="preserve"> </w:t>
      </w:r>
      <w:r w:rsidR="002C3191" w:rsidRPr="00297A88">
        <w:rPr>
          <w:i/>
          <w:szCs w:val="24"/>
        </w:rPr>
        <w:t>APA</w:t>
      </w:r>
      <w:r w:rsidR="002C3191">
        <w:rPr>
          <w:szCs w:val="24"/>
        </w:rPr>
        <w:t xml:space="preserve">), saskaņā ar </w:t>
      </w:r>
      <w:proofErr w:type="spellStart"/>
      <w:r>
        <w:rPr>
          <w:szCs w:val="24"/>
        </w:rPr>
        <w:t>MiFIR</w:t>
      </w:r>
      <w:proofErr w:type="spellEnd"/>
      <w:r>
        <w:rPr>
          <w:szCs w:val="24"/>
        </w:rPr>
        <w:t xml:space="preserve"> </w:t>
      </w:r>
      <w:r w:rsidR="002C3191">
        <w:rPr>
          <w:szCs w:val="24"/>
        </w:rPr>
        <w:t xml:space="preserve">prasībām </w:t>
      </w:r>
      <w:r w:rsidR="002C3191" w:rsidRPr="0044758A">
        <w:rPr>
          <w:color w:val="000000"/>
          <w:szCs w:val="24"/>
          <w:lang w:eastAsia="lv-LV"/>
        </w:rPr>
        <w:t>neattiecas uz ieguldījumu pārvaldes sabiedrībām</w:t>
      </w:r>
      <w:r w:rsidR="003111EB">
        <w:rPr>
          <w:color w:val="000000"/>
          <w:szCs w:val="24"/>
          <w:lang w:eastAsia="lv-LV"/>
        </w:rPr>
        <w:t>, kas ir saņ</w:t>
      </w:r>
      <w:r w:rsidR="00D12FEB">
        <w:rPr>
          <w:color w:val="000000"/>
          <w:szCs w:val="24"/>
          <w:lang w:eastAsia="lv-LV"/>
        </w:rPr>
        <w:t>ēmušas</w:t>
      </w:r>
      <w:r w:rsidR="003111EB">
        <w:rPr>
          <w:color w:val="000000"/>
          <w:szCs w:val="24"/>
          <w:lang w:eastAsia="lv-LV"/>
        </w:rPr>
        <w:t xml:space="preserve"> </w:t>
      </w:r>
      <w:r w:rsidR="00D12FEB">
        <w:rPr>
          <w:color w:val="000000"/>
          <w:szCs w:val="24"/>
          <w:lang w:eastAsia="lv-LV"/>
        </w:rPr>
        <w:t xml:space="preserve">atļauju </w:t>
      </w:r>
      <w:r w:rsidR="003111EB">
        <w:rPr>
          <w:color w:val="000000"/>
          <w:szCs w:val="24"/>
          <w:lang w:eastAsia="lv-LV"/>
        </w:rPr>
        <w:t xml:space="preserve">atbilstoši </w:t>
      </w:r>
      <w:r w:rsidR="002C3191" w:rsidRPr="00946501">
        <w:rPr>
          <w:i/>
          <w:color w:val="000000"/>
          <w:szCs w:val="24"/>
          <w:lang w:eastAsia="lv-LV"/>
        </w:rPr>
        <w:t>UCITS</w:t>
      </w:r>
      <w:r w:rsidR="002C3191" w:rsidRPr="0044758A">
        <w:rPr>
          <w:color w:val="000000"/>
          <w:szCs w:val="24"/>
          <w:lang w:eastAsia="lv-LV"/>
        </w:rPr>
        <w:t xml:space="preserve"> </w:t>
      </w:r>
      <w:r w:rsidR="003111EB">
        <w:rPr>
          <w:color w:val="000000"/>
          <w:szCs w:val="24"/>
          <w:lang w:eastAsia="lv-LV"/>
        </w:rPr>
        <w:t xml:space="preserve">vai </w:t>
      </w:r>
      <w:r w:rsidR="003111EB" w:rsidRPr="00946501">
        <w:rPr>
          <w:i/>
          <w:color w:val="000000"/>
          <w:szCs w:val="24"/>
          <w:lang w:eastAsia="lv-LV"/>
        </w:rPr>
        <w:t>AIF</w:t>
      </w:r>
      <w:r w:rsidR="003111EB">
        <w:rPr>
          <w:color w:val="000000"/>
          <w:szCs w:val="24"/>
          <w:lang w:eastAsia="lv-LV"/>
        </w:rPr>
        <w:t xml:space="preserve"> direktīvai.</w:t>
      </w:r>
      <w:r w:rsidR="002C3191" w:rsidRPr="0044758A">
        <w:rPr>
          <w:color w:val="000000"/>
          <w:szCs w:val="24"/>
          <w:lang w:eastAsia="lv-LV"/>
        </w:rPr>
        <w:t xml:space="preserve"> </w:t>
      </w:r>
    </w:p>
    <w:p w:rsidR="002C3191" w:rsidRDefault="002C3191" w:rsidP="002C3191">
      <w:pPr>
        <w:autoSpaceDE w:val="0"/>
        <w:autoSpaceDN w:val="0"/>
        <w:adjustRightInd w:val="0"/>
        <w:rPr>
          <w:color w:val="000000"/>
          <w:szCs w:val="24"/>
          <w:lang w:eastAsia="lv-LV"/>
        </w:rPr>
      </w:pPr>
    </w:p>
    <w:p w:rsidR="002C3191" w:rsidRPr="00F3363B" w:rsidRDefault="002C3191" w:rsidP="002C3191">
      <w:pPr>
        <w:autoSpaceDE w:val="0"/>
        <w:autoSpaceDN w:val="0"/>
        <w:adjustRightInd w:val="0"/>
        <w:rPr>
          <w:color w:val="000000" w:themeColor="text1"/>
          <w:szCs w:val="24"/>
        </w:rPr>
      </w:pPr>
      <w:r>
        <w:rPr>
          <w:color w:val="000000"/>
          <w:szCs w:val="24"/>
          <w:lang w:eastAsia="lv-LV"/>
        </w:rPr>
        <w:lastRenderedPageBreak/>
        <w:t>Iepriekš minētajā piemērā ziņo</w:t>
      </w:r>
      <w:r w:rsidR="003111EB">
        <w:rPr>
          <w:color w:val="000000"/>
          <w:szCs w:val="24"/>
          <w:lang w:eastAsia="lv-LV"/>
        </w:rPr>
        <w:t>šana</w:t>
      </w:r>
      <w:r>
        <w:rPr>
          <w:color w:val="000000"/>
          <w:szCs w:val="24"/>
          <w:lang w:eastAsia="lv-LV"/>
        </w:rPr>
        <w:t xml:space="preserve"> par darījumiem </w:t>
      </w:r>
      <w:r w:rsidR="003111EB">
        <w:rPr>
          <w:color w:val="000000"/>
          <w:szCs w:val="24"/>
          <w:lang w:eastAsia="lv-LV"/>
        </w:rPr>
        <w:t>un informācijas atklāšana</w:t>
      </w:r>
      <w:r w:rsidR="00D12FEB">
        <w:rPr>
          <w:color w:val="000000"/>
          <w:szCs w:val="24"/>
          <w:lang w:eastAsia="lv-LV"/>
        </w:rPr>
        <w:t>,</w:t>
      </w:r>
      <w:r w:rsidR="003111EB">
        <w:rPr>
          <w:color w:val="000000"/>
          <w:szCs w:val="24"/>
          <w:lang w:eastAsia="lv-LV"/>
        </w:rPr>
        <w:t xml:space="preserve"> </w:t>
      </w:r>
      <w:r w:rsidR="00D12FEB">
        <w:rPr>
          <w:color w:val="000000"/>
          <w:szCs w:val="24"/>
          <w:lang w:eastAsia="lv-LV"/>
        </w:rPr>
        <w:t xml:space="preserve">izmantojot </w:t>
      </w:r>
      <w:r w:rsidR="003111EB">
        <w:rPr>
          <w:color w:val="000000"/>
          <w:szCs w:val="24"/>
          <w:lang w:eastAsia="lv-LV"/>
        </w:rPr>
        <w:t>APS</w:t>
      </w:r>
      <w:r w:rsidR="00D12FEB">
        <w:rPr>
          <w:color w:val="000000"/>
          <w:szCs w:val="24"/>
          <w:lang w:eastAsia="lv-LV"/>
        </w:rPr>
        <w:t>,</w:t>
      </w:r>
      <w:r w:rsidR="003111EB">
        <w:rPr>
          <w:color w:val="000000"/>
          <w:szCs w:val="24"/>
          <w:lang w:eastAsia="lv-LV"/>
        </w:rPr>
        <w:t xml:space="preserve"> atbilstoši </w:t>
      </w:r>
      <w:proofErr w:type="spellStart"/>
      <w:r w:rsidR="003111EB">
        <w:rPr>
          <w:color w:val="000000"/>
          <w:szCs w:val="24"/>
          <w:lang w:eastAsia="lv-LV"/>
        </w:rPr>
        <w:t>MiFIR</w:t>
      </w:r>
      <w:proofErr w:type="spellEnd"/>
      <w:r w:rsidR="003111EB">
        <w:rPr>
          <w:color w:val="000000"/>
          <w:szCs w:val="24"/>
          <w:lang w:eastAsia="lv-LV"/>
        </w:rPr>
        <w:t xml:space="preserve"> prasībām būs jānodrošina </w:t>
      </w:r>
      <w:r>
        <w:rPr>
          <w:color w:val="000000"/>
          <w:szCs w:val="24"/>
          <w:lang w:eastAsia="lv-LV"/>
        </w:rPr>
        <w:t>brokeri</w:t>
      </w:r>
      <w:r w:rsidR="003111EB">
        <w:rPr>
          <w:color w:val="000000"/>
          <w:szCs w:val="24"/>
          <w:lang w:eastAsia="lv-LV"/>
        </w:rPr>
        <w:t>m</w:t>
      </w:r>
      <w:r>
        <w:rPr>
          <w:color w:val="000000"/>
          <w:szCs w:val="24"/>
          <w:lang w:eastAsia="lv-LV"/>
        </w:rPr>
        <w:t xml:space="preserve">, kurš saņēmis rīkojumu no </w:t>
      </w:r>
      <w:r w:rsidR="003111EB">
        <w:rPr>
          <w:color w:val="000000"/>
          <w:szCs w:val="24"/>
          <w:lang w:eastAsia="lv-LV"/>
        </w:rPr>
        <w:t>IPAS kā individuāl</w:t>
      </w:r>
      <w:r w:rsidR="00D12FEB">
        <w:rPr>
          <w:color w:val="000000"/>
          <w:szCs w:val="24"/>
          <w:lang w:eastAsia="lv-LV"/>
        </w:rPr>
        <w:t>ā</w:t>
      </w:r>
      <w:r w:rsidR="003111EB">
        <w:rPr>
          <w:color w:val="000000"/>
          <w:szCs w:val="24"/>
          <w:lang w:eastAsia="lv-LV"/>
        </w:rPr>
        <w:t xml:space="preserve"> </w:t>
      </w:r>
      <w:r>
        <w:rPr>
          <w:color w:val="000000"/>
          <w:szCs w:val="24"/>
          <w:lang w:eastAsia="lv-LV"/>
        </w:rPr>
        <w:t>portfeļ</w:t>
      </w:r>
      <w:r w:rsidR="00D12FEB">
        <w:rPr>
          <w:color w:val="000000"/>
          <w:szCs w:val="24"/>
          <w:lang w:eastAsia="lv-LV"/>
        </w:rPr>
        <w:t>a</w:t>
      </w:r>
      <w:r>
        <w:rPr>
          <w:color w:val="000000"/>
          <w:szCs w:val="24"/>
          <w:lang w:eastAsia="lv-LV"/>
        </w:rPr>
        <w:t xml:space="preserve"> pārvaldnieka.</w:t>
      </w:r>
      <w:r w:rsidRPr="00F3363B">
        <w:rPr>
          <w:color w:val="000000" w:themeColor="text1"/>
          <w:szCs w:val="24"/>
        </w:rPr>
        <w:t xml:space="preserve"> </w:t>
      </w:r>
    </w:p>
    <w:p w:rsidR="002C3191" w:rsidRDefault="002C3191" w:rsidP="00756B9B">
      <w:pPr>
        <w:autoSpaceDE w:val="0"/>
        <w:autoSpaceDN w:val="0"/>
        <w:adjustRightInd w:val="0"/>
        <w:rPr>
          <w:b/>
          <w:color w:val="000000" w:themeColor="text1"/>
          <w:szCs w:val="24"/>
        </w:rPr>
      </w:pPr>
    </w:p>
    <w:p w:rsidR="00756B9B" w:rsidRPr="004012B5" w:rsidRDefault="002C3191" w:rsidP="00756B9B">
      <w:pPr>
        <w:autoSpaceDE w:val="0"/>
        <w:autoSpaceDN w:val="0"/>
        <w:adjustRightInd w:val="0"/>
        <w:rPr>
          <w:b/>
          <w:szCs w:val="24"/>
        </w:rPr>
      </w:pPr>
      <w:r>
        <w:rPr>
          <w:b/>
          <w:color w:val="000000" w:themeColor="text1"/>
          <w:szCs w:val="24"/>
        </w:rPr>
        <w:t>2</w:t>
      </w:r>
      <w:r w:rsidR="00756B9B" w:rsidRPr="004012B5">
        <w:rPr>
          <w:b/>
          <w:color w:val="000000" w:themeColor="text1"/>
          <w:szCs w:val="24"/>
        </w:rPr>
        <w:t>. j</w:t>
      </w:r>
      <w:r w:rsidR="00756B9B" w:rsidRPr="004012B5">
        <w:rPr>
          <w:b/>
          <w:color w:val="000000" w:themeColor="text1"/>
          <w:szCs w:val="24"/>
          <w:u w:val="single"/>
        </w:rPr>
        <w:t>autājums:</w:t>
      </w:r>
      <w:r w:rsidR="00756B9B" w:rsidRPr="004012B5">
        <w:rPr>
          <w:b/>
          <w:color w:val="000000" w:themeColor="text1"/>
          <w:szCs w:val="24"/>
        </w:rPr>
        <w:t xml:space="preserve"> </w:t>
      </w:r>
      <w:r w:rsidR="00756B9B" w:rsidRPr="004012B5">
        <w:rPr>
          <w:b/>
          <w:szCs w:val="24"/>
        </w:rPr>
        <w:t>Vai un kā pienākum</w:t>
      </w:r>
      <w:r w:rsidR="00752039">
        <w:rPr>
          <w:b/>
          <w:szCs w:val="24"/>
        </w:rPr>
        <w:t>s</w:t>
      </w:r>
      <w:r w:rsidR="00756B9B" w:rsidRPr="004012B5">
        <w:rPr>
          <w:b/>
          <w:szCs w:val="24"/>
        </w:rPr>
        <w:t xml:space="preserve"> ziņot par darījumiem un </w:t>
      </w:r>
      <w:r w:rsidR="00756B9B" w:rsidRPr="004012B5">
        <w:rPr>
          <w:b/>
          <w:color w:val="000000"/>
          <w:shd w:val="clear" w:color="auto" w:fill="FFFFFF"/>
        </w:rPr>
        <w:t>pārredzamības</w:t>
      </w:r>
      <w:r w:rsidR="00756B9B" w:rsidRPr="004012B5">
        <w:rPr>
          <w:b/>
          <w:szCs w:val="24"/>
        </w:rPr>
        <w:t xml:space="preserve"> prasības attiecas uz REPO darījumiem starp banku un klientu, starp divām bankām, starp banku un centrālo banku?</w:t>
      </w:r>
    </w:p>
    <w:p w:rsidR="00756B9B" w:rsidRPr="004012B5" w:rsidRDefault="00756B9B" w:rsidP="00756B9B">
      <w:pPr>
        <w:autoSpaceDE w:val="0"/>
        <w:autoSpaceDN w:val="0"/>
        <w:adjustRightInd w:val="0"/>
        <w:rPr>
          <w:b/>
          <w:szCs w:val="24"/>
        </w:rPr>
      </w:pPr>
    </w:p>
    <w:p w:rsidR="00756B9B" w:rsidRPr="004012B5" w:rsidRDefault="00756B9B" w:rsidP="00756B9B">
      <w:pPr>
        <w:autoSpaceDE w:val="0"/>
        <w:autoSpaceDN w:val="0"/>
        <w:adjustRightInd w:val="0"/>
        <w:rPr>
          <w:color w:val="000000"/>
          <w:szCs w:val="24"/>
          <w:lang w:eastAsia="lv-LV"/>
        </w:rPr>
      </w:pPr>
      <w:r w:rsidRPr="004012B5">
        <w:rPr>
          <w:b/>
          <w:color w:val="000000" w:themeColor="text1"/>
          <w:szCs w:val="24"/>
          <w:u w:val="single"/>
        </w:rPr>
        <w:t>Atbilde</w:t>
      </w:r>
      <w:r w:rsidRPr="004012B5">
        <w:rPr>
          <w:color w:val="000000" w:themeColor="text1"/>
          <w:szCs w:val="24"/>
          <w:u w:val="single"/>
        </w:rPr>
        <w:t>:</w:t>
      </w:r>
      <w:r w:rsidRPr="004012B5">
        <w:rPr>
          <w:color w:val="000000" w:themeColor="text1"/>
          <w:szCs w:val="24"/>
        </w:rPr>
        <w:t xml:space="preserve"> </w:t>
      </w:r>
      <w:r w:rsidRPr="004012B5">
        <w:rPr>
          <w:color w:val="000000"/>
          <w:szCs w:val="24"/>
          <w:lang w:eastAsia="lv-LV"/>
        </w:rPr>
        <w:t xml:space="preserve">Saskaņā ar Regulas </w:t>
      </w:r>
      <w:r w:rsidRPr="004012B5">
        <w:rPr>
          <w:szCs w:val="24"/>
        </w:rPr>
        <w:t xml:space="preserve">Nr. </w:t>
      </w:r>
      <w:r w:rsidRPr="004012B5">
        <w:rPr>
          <w:color w:val="000000"/>
          <w:szCs w:val="24"/>
          <w:lang w:eastAsia="lv-LV"/>
        </w:rPr>
        <w:t xml:space="preserve">2017/590 2. panta 5. punkta a) apakšpunktu darījums </w:t>
      </w:r>
      <w:proofErr w:type="spellStart"/>
      <w:r w:rsidR="00447AA0" w:rsidRPr="004012B5">
        <w:rPr>
          <w:szCs w:val="24"/>
        </w:rPr>
        <w:t>MiFIR</w:t>
      </w:r>
      <w:proofErr w:type="spellEnd"/>
      <w:r w:rsidR="00447AA0" w:rsidRPr="004012B5">
        <w:rPr>
          <w:szCs w:val="24"/>
        </w:rPr>
        <w:t xml:space="preserve"> regulas </w:t>
      </w:r>
      <w:r w:rsidRPr="004012B5">
        <w:rPr>
          <w:color w:val="000000"/>
          <w:szCs w:val="24"/>
          <w:lang w:eastAsia="lv-LV"/>
        </w:rPr>
        <w:t xml:space="preserve">26. panta </w:t>
      </w:r>
      <w:r w:rsidR="006143B4">
        <w:rPr>
          <w:color w:val="000000"/>
          <w:szCs w:val="24"/>
          <w:lang w:eastAsia="lv-LV"/>
        </w:rPr>
        <w:t>izpratnē</w:t>
      </w:r>
      <w:r w:rsidR="006143B4" w:rsidRPr="004012B5">
        <w:rPr>
          <w:color w:val="000000"/>
          <w:szCs w:val="24"/>
          <w:lang w:eastAsia="lv-LV"/>
        </w:rPr>
        <w:t xml:space="preserve"> </w:t>
      </w:r>
      <w:r w:rsidRPr="004012B5">
        <w:rPr>
          <w:color w:val="000000"/>
          <w:szCs w:val="24"/>
          <w:lang w:eastAsia="lv-LV"/>
        </w:rPr>
        <w:t xml:space="preserve">neietver vērtspapīru finansēšanas darījumus, kā noteikts Regulas Nr. 2015/2365 3. panta 11. punktā (vērtspapīru finansēšanas darījums ir </w:t>
      </w:r>
      <w:proofErr w:type="spellStart"/>
      <w:r w:rsidRPr="004012B5">
        <w:rPr>
          <w:color w:val="000000"/>
          <w:szCs w:val="24"/>
          <w:lang w:eastAsia="lv-LV"/>
        </w:rPr>
        <w:t>repo</w:t>
      </w:r>
      <w:proofErr w:type="spellEnd"/>
      <w:r w:rsidRPr="004012B5">
        <w:rPr>
          <w:color w:val="000000"/>
          <w:szCs w:val="24"/>
          <w:lang w:eastAsia="lv-LV"/>
        </w:rPr>
        <w:t xml:space="preserve"> darījums, vērtspapīru vai preču aizdevums, vērtspapīru vai preču aizņēmums, pirkuma–atpārdevuma darījums, pārdevuma–atpirkuma darījums vai </w:t>
      </w:r>
      <w:proofErr w:type="spellStart"/>
      <w:r w:rsidRPr="004012B5">
        <w:rPr>
          <w:color w:val="000000"/>
          <w:szCs w:val="24"/>
          <w:lang w:eastAsia="lv-LV"/>
        </w:rPr>
        <w:t>maržinālo</w:t>
      </w:r>
      <w:proofErr w:type="spellEnd"/>
      <w:r w:rsidRPr="004012B5">
        <w:rPr>
          <w:color w:val="000000"/>
          <w:szCs w:val="24"/>
          <w:lang w:eastAsia="lv-LV"/>
        </w:rPr>
        <w:t xml:space="preserve"> aizdevumu darījums). Ieguldījumu brokeru sabiedrībai vai kredītiestādei nav pienākuma ziņot par darījumu saskaņā ar </w:t>
      </w:r>
      <w:proofErr w:type="spellStart"/>
      <w:r w:rsidRPr="004012B5">
        <w:rPr>
          <w:color w:val="000000"/>
          <w:szCs w:val="24"/>
          <w:lang w:eastAsia="lv-LV"/>
        </w:rPr>
        <w:t>M</w:t>
      </w:r>
      <w:r w:rsidR="006143B4">
        <w:rPr>
          <w:color w:val="000000"/>
          <w:szCs w:val="24"/>
          <w:lang w:eastAsia="lv-LV"/>
        </w:rPr>
        <w:t>i</w:t>
      </w:r>
      <w:r w:rsidRPr="004012B5">
        <w:rPr>
          <w:color w:val="000000"/>
          <w:szCs w:val="24"/>
          <w:lang w:eastAsia="lv-LV"/>
        </w:rPr>
        <w:t>FIR</w:t>
      </w:r>
      <w:proofErr w:type="spellEnd"/>
      <w:r w:rsidRPr="004012B5">
        <w:rPr>
          <w:color w:val="000000"/>
          <w:szCs w:val="24"/>
          <w:lang w:eastAsia="lv-LV"/>
        </w:rPr>
        <w:t xml:space="preserve"> </w:t>
      </w:r>
      <w:r w:rsidRPr="004012B5">
        <w:rPr>
          <w:szCs w:val="24"/>
        </w:rPr>
        <w:t>regulu</w:t>
      </w:r>
      <w:r w:rsidRPr="004012B5">
        <w:rPr>
          <w:color w:val="000000"/>
          <w:szCs w:val="24"/>
          <w:lang w:eastAsia="lv-LV"/>
        </w:rPr>
        <w:t>, ja par darījumu tiek ziņots saskaņā ar Regulu Nr. 2015/2365.</w:t>
      </w:r>
    </w:p>
    <w:p w:rsidR="00756B9B" w:rsidRPr="004012B5" w:rsidRDefault="00756B9B" w:rsidP="00756B9B">
      <w:pPr>
        <w:autoSpaceDE w:val="0"/>
        <w:autoSpaceDN w:val="0"/>
        <w:adjustRightInd w:val="0"/>
        <w:rPr>
          <w:szCs w:val="24"/>
        </w:rPr>
      </w:pPr>
    </w:p>
    <w:p w:rsidR="00756B9B" w:rsidRPr="004012B5" w:rsidRDefault="00756B9B" w:rsidP="00756B9B">
      <w:pPr>
        <w:autoSpaceDE w:val="0"/>
        <w:autoSpaceDN w:val="0"/>
        <w:adjustRightInd w:val="0"/>
        <w:rPr>
          <w:color w:val="000000"/>
          <w:szCs w:val="24"/>
          <w:lang w:eastAsia="lv-LV"/>
        </w:rPr>
      </w:pPr>
      <w:r w:rsidRPr="004012B5">
        <w:rPr>
          <w:szCs w:val="24"/>
        </w:rPr>
        <w:t xml:space="preserve">FKTK iesaka iepazīties ar </w:t>
      </w:r>
      <w:r w:rsidRPr="004012B5">
        <w:rPr>
          <w:color w:val="000000"/>
          <w:szCs w:val="24"/>
          <w:lang w:eastAsia="lv-LV"/>
        </w:rPr>
        <w:t>Pamatnostādņu 5.6.2. iedaļu</w:t>
      </w:r>
      <w:r w:rsidRPr="004012B5">
        <w:rPr>
          <w:szCs w:val="24"/>
        </w:rPr>
        <w:t xml:space="preserve">, kurā minēti piemēri attiecībā </w:t>
      </w:r>
      <w:r w:rsidR="006143B4">
        <w:rPr>
          <w:szCs w:val="24"/>
        </w:rPr>
        <w:t>uz</w:t>
      </w:r>
      <w:r w:rsidR="006143B4" w:rsidRPr="004012B5">
        <w:rPr>
          <w:szCs w:val="24"/>
        </w:rPr>
        <w:t xml:space="preserve"> </w:t>
      </w:r>
      <w:r w:rsidRPr="004012B5">
        <w:rPr>
          <w:szCs w:val="24"/>
        </w:rPr>
        <w:t xml:space="preserve">izņēmumiem, uz kuriem neattiecas pienākums ziņot saskaņā ar </w:t>
      </w:r>
      <w:proofErr w:type="spellStart"/>
      <w:r w:rsidRPr="004012B5">
        <w:rPr>
          <w:szCs w:val="24"/>
        </w:rPr>
        <w:t>MiFIR</w:t>
      </w:r>
      <w:proofErr w:type="spellEnd"/>
      <w:r w:rsidRPr="004012B5">
        <w:rPr>
          <w:szCs w:val="24"/>
        </w:rPr>
        <w:t xml:space="preserve"> regulas 26. pantu</w:t>
      </w:r>
      <w:r w:rsidRPr="004012B5">
        <w:rPr>
          <w:color w:val="000000"/>
          <w:szCs w:val="24"/>
          <w:lang w:eastAsia="lv-LV"/>
        </w:rPr>
        <w:t>.</w:t>
      </w:r>
      <w:r w:rsidR="00447AA0" w:rsidRPr="004012B5">
        <w:rPr>
          <w:color w:val="000000"/>
          <w:szCs w:val="24"/>
          <w:lang w:eastAsia="lv-LV"/>
        </w:rPr>
        <w:t xml:space="preserve"> </w:t>
      </w:r>
      <w:r w:rsidRPr="004012B5">
        <w:rPr>
          <w:color w:val="000000"/>
          <w:szCs w:val="24"/>
          <w:lang w:eastAsia="lv-LV"/>
        </w:rPr>
        <w:t xml:space="preserve">FKTK informē, ka </w:t>
      </w:r>
      <w:r w:rsidRPr="0063448E">
        <w:rPr>
          <w:color w:val="000000"/>
          <w:szCs w:val="24"/>
          <w:lang w:eastAsia="lv-LV"/>
        </w:rPr>
        <w:t>ziņošana</w:t>
      </w:r>
      <w:r w:rsidR="00DD07A3" w:rsidRPr="009F05A4">
        <w:rPr>
          <w:color w:val="000000"/>
          <w:szCs w:val="24"/>
          <w:lang w:eastAsia="lv-LV"/>
        </w:rPr>
        <w:t>s kārtība</w:t>
      </w:r>
      <w:r w:rsidRPr="0063448E">
        <w:rPr>
          <w:color w:val="000000"/>
          <w:szCs w:val="24"/>
          <w:lang w:eastAsia="lv-LV"/>
        </w:rPr>
        <w:t xml:space="preserve"> atbilstoši Regulas Nr. 2015/2365 </w:t>
      </w:r>
      <w:r w:rsidRPr="00DD07A3">
        <w:rPr>
          <w:szCs w:val="24"/>
        </w:rPr>
        <w:t xml:space="preserve">prasībām </w:t>
      </w:r>
      <w:r w:rsidRPr="00DD07A3">
        <w:rPr>
          <w:color w:val="000000"/>
          <w:szCs w:val="24"/>
          <w:lang w:eastAsia="lv-LV"/>
        </w:rPr>
        <w:t xml:space="preserve">šobrīd vēl </w:t>
      </w:r>
      <w:r w:rsidR="00DD07A3" w:rsidRPr="009F05A4">
        <w:rPr>
          <w:color w:val="000000"/>
          <w:szCs w:val="24"/>
          <w:lang w:eastAsia="lv-LV"/>
        </w:rPr>
        <w:t>tiek</w:t>
      </w:r>
      <w:r w:rsidR="00DD07A3" w:rsidRPr="0063448E">
        <w:rPr>
          <w:color w:val="000000"/>
          <w:szCs w:val="24"/>
          <w:lang w:eastAsia="lv-LV"/>
        </w:rPr>
        <w:t xml:space="preserve"> </w:t>
      </w:r>
      <w:r w:rsidRPr="00DD07A3">
        <w:rPr>
          <w:color w:val="000000"/>
          <w:szCs w:val="24"/>
          <w:lang w:eastAsia="lv-LV"/>
        </w:rPr>
        <w:t>izstrād</w:t>
      </w:r>
      <w:r w:rsidR="00DD07A3" w:rsidRPr="009F05A4">
        <w:rPr>
          <w:color w:val="000000"/>
          <w:szCs w:val="24"/>
          <w:lang w:eastAsia="lv-LV"/>
        </w:rPr>
        <w:t>āta</w:t>
      </w:r>
      <w:r w:rsidRPr="0063448E">
        <w:rPr>
          <w:color w:val="000000"/>
          <w:szCs w:val="24"/>
          <w:lang w:eastAsia="lv-LV"/>
        </w:rPr>
        <w:t xml:space="preserve"> un tiek plānots, ka tā varētu tikt </w:t>
      </w:r>
      <w:r w:rsidRPr="00DD07A3">
        <w:rPr>
          <w:color w:val="000000"/>
          <w:szCs w:val="24"/>
          <w:lang w:eastAsia="lv-LV"/>
        </w:rPr>
        <w:t>sākta 2019. gada 1.</w:t>
      </w:r>
      <w:r w:rsidR="00D12FEB">
        <w:rPr>
          <w:color w:val="000000"/>
          <w:szCs w:val="24"/>
          <w:lang w:eastAsia="lv-LV"/>
        </w:rPr>
        <w:t> </w:t>
      </w:r>
      <w:r w:rsidRPr="00DD07A3">
        <w:rPr>
          <w:color w:val="000000"/>
          <w:szCs w:val="24"/>
          <w:lang w:eastAsia="lv-LV"/>
        </w:rPr>
        <w:t>ceturksnī</w:t>
      </w:r>
      <w:r w:rsidRPr="004012B5">
        <w:rPr>
          <w:color w:val="000000"/>
          <w:szCs w:val="24"/>
          <w:lang w:eastAsia="lv-LV"/>
        </w:rPr>
        <w:t>.</w:t>
      </w:r>
    </w:p>
    <w:p w:rsidR="00756B9B" w:rsidRPr="004012B5" w:rsidRDefault="00756B9B" w:rsidP="00756B9B">
      <w:pPr>
        <w:autoSpaceDE w:val="0"/>
        <w:autoSpaceDN w:val="0"/>
        <w:adjustRightInd w:val="0"/>
        <w:rPr>
          <w:b/>
          <w:color w:val="000000"/>
          <w:szCs w:val="24"/>
          <w:lang w:eastAsia="lv-LV"/>
        </w:rPr>
      </w:pPr>
    </w:p>
    <w:p w:rsidR="00756B9B" w:rsidRPr="004012B5" w:rsidRDefault="002C3191" w:rsidP="00756B9B">
      <w:pPr>
        <w:autoSpaceDE w:val="0"/>
        <w:autoSpaceDN w:val="0"/>
        <w:adjustRightInd w:val="0"/>
        <w:rPr>
          <w:b/>
          <w:color w:val="000000"/>
          <w:szCs w:val="24"/>
          <w:lang w:eastAsia="lv-LV"/>
        </w:rPr>
      </w:pPr>
      <w:r>
        <w:rPr>
          <w:b/>
          <w:color w:val="000000" w:themeColor="text1"/>
          <w:szCs w:val="24"/>
        </w:rPr>
        <w:t>3</w:t>
      </w:r>
      <w:r w:rsidR="00756B9B" w:rsidRPr="004012B5">
        <w:rPr>
          <w:b/>
          <w:color w:val="000000" w:themeColor="text1"/>
          <w:szCs w:val="24"/>
        </w:rPr>
        <w:t>. j</w:t>
      </w:r>
      <w:r w:rsidR="00756B9B" w:rsidRPr="004012B5">
        <w:rPr>
          <w:b/>
          <w:color w:val="000000" w:themeColor="text1"/>
          <w:szCs w:val="24"/>
          <w:u w:val="single"/>
        </w:rPr>
        <w:t>autājums:</w:t>
      </w:r>
      <w:r w:rsidR="00756B9B" w:rsidRPr="004012B5">
        <w:rPr>
          <w:b/>
          <w:color w:val="000000" w:themeColor="text1"/>
          <w:szCs w:val="24"/>
        </w:rPr>
        <w:t xml:space="preserve"> </w:t>
      </w:r>
      <w:r w:rsidR="00756B9B" w:rsidRPr="004012B5">
        <w:rPr>
          <w:b/>
          <w:color w:val="000000"/>
          <w:szCs w:val="24"/>
          <w:lang w:eastAsia="lv-LV"/>
        </w:rPr>
        <w:t xml:space="preserve">Iestāde varētu izplatīt CFD darījumus, kur ir piesaistīti bāzes finanšu instrumenti, kas kotējas Eiropas Savienības biržā. Saskaņā ar </w:t>
      </w:r>
      <w:r w:rsidR="00756B9B" w:rsidRPr="004012B5">
        <w:rPr>
          <w:b/>
          <w:szCs w:val="24"/>
        </w:rPr>
        <w:t xml:space="preserve">Regulas Nr. 2017/585 </w:t>
      </w:r>
      <w:r w:rsidR="00756B9B" w:rsidRPr="004012B5">
        <w:rPr>
          <w:b/>
          <w:color w:val="000000"/>
          <w:szCs w:val="24"/>
          <w:lang w:eastAsia="lv-LV"/>
        </w:rPr>
        <w:t>7.</w:t>
      </w:r>
      <w:r w:rsidR="006143B4">
        <w:rPr>
          <w:b/>
          <w:color w:val="000000"/>
          <w:szCs w:val="24"/>
          <w:lang w:eastAsia="lv-LV"/>
        </w:rPr>
        <w:t> </w:t>
      </w:r>
      <w:r w:rsidR="00756B9B" w:rsidRPr="004012B5">
        <w:rPr>
          <w:b/>
          <w:color w:val="000000"/>
          <w:szCs w:val="24"/>
          <w:lang w:eastAsia="lv-LV"/>
        </w:rPr>
        <w:t>panta 5. punktu par tādu darījumu vajadzētu kādam ziņot. Taču iestāde varētu nebūt tirgus dalībnieks, kurš izpilda rīkojumu (</w:t>
      </w:r>
      <w:proofErr w:type="spellStart"/>
      <w:r w:rsidR="00756B9B" w:rsidRPr="004012B5">
        <w:rPr>
          <w:b/>
          <w:i/>
          <w:color w:val="000000"/>
          <w:szCs w:val="24"/>
          <w:lang w:eastAsia="lv-LV"/>
        </w:rPr>
        <w:t>market-facing</w:t>
      </w:r>
      <w:proofErr w:type="spellEnd"/>
      <w:r w:rsidR="00756B9B" w:rsidRPr="004012B5">
        <w:rPr>
          <w:b/>
          <w:i/>
          <w:color w:val="000000"/>
          <w:szCs w:val="24"/>
          <w:lang w:eastAsia="lv-LV"/>
        </w:rPr>
        <w:t xml:space="preserve"> </w:t>
      </w:r>
      <w:proofErr w:type="spellStart"/>
      <w:r w:rsidR="00756B9B" w:rsidRPr="004012B5">
        <w:rPr>
          <w:b/>
          <w:i/>
          <w:color w:val="000000"/>
          <w:szCs w:val="24"/>
          <w:lang w:eastAsia="lv-LV"/>
        </w:rPr>
        <w:t>investment</w:t>
      </w:r>
      <w:proofErr w:type="spellEnd"/>
      <w:r w:rsidR="00756B9B" w:rsidRPr="004012B5">
        <w:rPr>
          <w:b/>
          <w:i/>
          <w:color w:val="000000"/>
          <w:szCs w:val="24"/>
          <w:lang w:eastAsia="lv-LV"/>
        </w:rPr>
        <w:t xml:space="preserve"> </w:t>
      </w:r>
      <w:proofErr w:type="spellStart"/>
      <w:r w:rsidR="00756B9B" w:rsidRPr="004012B5">
        <w:rPr>
          <w:b/>
          <w:i/>
          <w:color w:val="000000"/>
          <w:szCs w:val="24"/>
          <w:lang w:eastAsia="lv-LV"/>
        </w:rPr>
        <w:t>firm</w:t>
      </w:r>
      <w:proofErr w:type="spellEnd"/>
      <w:r w:rsidR="00756B9B" w:rsidRPr="004012B5">
        <w:rPr>
          <w:b/>
          <w:color w:val="000000"/>
          <w:szCs w:val="24"/>
          <w:lang w:eastAsia="lv-LV"/>
        </w:rPr>
        <w:t>), ja pilnīgi visus klientu rīkojumus pārsūta (</w:t>
      </w:r>
      <w:proofErr w:type="spellStart"/>
      <w:r w:rsidR="00756B9B" w:rsidRPr="004012B5">
        <w:rPr>
          <w:b/>
          <w:i/>
          <w:color w:val="000000"/>
          <w:szCs w:val="24"/>
          <w:lang w:eastAsia="lv-LV"/>
        </w:rPr>
        <w:t>order</w:t>
      </w:r>
      <w:proofErr w:type="spellEnd"/>
      <w:r w:rsidR="00756B9B" w:rsidRPr="004012B5">
        <w:rPr>
          <w:b/>
          <w:i/>
          <w:color w:val="000000"/>
          <w:szCs w:val="24"/>
          <w:lang w:eastAsia="lv-LV"/>
        </w:rPr>
        <w:t xml:space="preserve"> </w:t>
      </w:r>
      <w:proofErr w:type="spellStart"/>
      <w:r w:rsidR="00756B9B" w:rsidRPr="004012B5">
        <w:rPr>
          <w:b/>
          <w:i/>
          <w:color w:val="000000"/>
          <w:szCs w:val="24"/>
          <w:lang w:eastAsia="lv-LV"/>
        </w:rPr>
        <w:t>transmition</w:t>
      </w:r>
      <w:proofErr w:type="spellEnd"/>
      <w:r w:rsidR="00756B9B" w:rsidRPr="004012B5">
        <w:rPr>
          <w:b/>
          <w:color w:val="000000"/>
          <w:szCs w:val="24"/>
          <w:lang w:eastAsia="lv-LV"/>
        </w:rPr>
        <w:t>) citai iestādei (</w:t>
      </w:r>
      <w:proofErr w:type="spellStart"/>
      <w:r w:rsidR="00756B9B" w:rsidRPr="004012B5">
        <w:rPr>
          <w:b/>
          <w:i/>
          <w:color w:val="000000"/>
          <w:szCs w:val="24"/>
          <w:lang w:eastAsia="lv-LV"/>
        </w:rPr>
        <w:t>investment</w:t>
      </w:r>
      <w:proofErr w:type="spellEnd"/>
      <w:r w:rsidR="00756B9B" w:rsidRPr="004012B5">
        <w:rPr>
          <w:b/>
          <w:i/>
          <w:color w:val="000000"/>
          <w:szCs w:val="24"/>
          <w:lang w:eastAsia="lv-LV"/>
        </w:rPr>
        <w:t xml:space="preserve"> </w:t>
      </w:r>
      <w:proofErr w:type="spellStart"/>
      <w:r w:rsidR="00756B9B" w:rsidRPr="004012B5">
        <w:rPr>
          <w:b/>
          <w:i/>
          <w:color w:val="000000"/>
          <w:szCs w:val="24"/>
          <w:lang w:eastAsia="lv-LV"/>
        </w:rPr>
        <w:t>firm</w:t>
      </w:r>
      <w:proofErr w:type="spellEnd"/>
      <w:r w:rsidR="00756B9B" w:rsidRPr="004012B5">
        <w:rPr>
          <w:b/>
          <w:color w:val="000000"/>
          <w:szCs w:val="24"/>
          <w:lang w:eastAsia="lv-LV"/>
        </w:rPr>
        <w:t>)</w:t>
      </w:r>
      <w:r w:rsidR="0030607D">
        <w:rPr>
          <w:b/>
          <w:color w:val="000000"/>
          <w:szCs w:val="24"/>
          <w:lang w:eastAsia="lv-LV"/>
        </w:rPr>
        <w:t xml:space="preserve"> un šī iestāde atrodas ārpus Eiropas Sa</w:t>
      </w:r>
      <w:r w:rsidR="00FB0CF5">
        <w:rPr>
          <w:b/>
          <w:color w:val="000000"/>
          <w:szCs w:val="24"/>
          <w:lang w:eastAsia="lv-LV"/>
        </w:rPr>
        <w:t>v</w:t>
      </w:r>
      <w:r w:rsidR="0030607D">
        <w:rPr>
          <w:b/>
          <w:color w:val="000000"/>
          <w:szCs w:val="24"/>
          <w:lang w:eastAsia="lv-LV"/>
        </w:rPr>
        <w:t>ie</w:t>
      </w:r>
      <w:r w:rsidR="00FB0CF5">
        <w:rPr>
          <w:b/>
          <w:color w:val="000000"/>
          <w:szCs w:val="24"/>
          <w:lang w:eastAsia="lv-LV"/>
        </w:rPr>
        <w:t>n</w:t>
      </w:r>
      <w:r w:rsidR="0030607D">
        <w:rPr>
          <w:b/>
          <w:color w:val="000000"/>
          <w:szCs w:val="24"/>
          <w:lang w:eastAsia="lv-LV"/>
        </w:rPr>
        <w:t>ības</w:t>
      </w:r>
      <w:r w:rsidR="0030607D" w:rsidRPr="004012B5">
        <w:rPr>
          <w:b/>
          <w:color w:val="000000"/>
          <w:szCs w:val="24"/>
          <w:lang w:eastAsia="lv-LV"/>
        </w:rPr>
        <w:t>.</w:t>
      </w:r>
      <w:r w:rsidR="00756B9B" w:rsidRPr="004012B5">
        <w:rPr>
          <w:b/>
          <w:color w:val="000000"/>
          <w:szCs w:val="24"/>
          <w:lang w:eastAsia="lv-LV"/>
        </w:rPr>
        <w:t xml:space="preserve"> Kurai iestādei ir pienākums </w:t>
      </w:r>
      <w:r w:rsidR="00756B9B" w:rsidRPr="004012B5">
        <w:rPr>
          <w:b/>
          <w:szCs w:val="24"/>
        </w:rPr>
        <w:t xml:space="preserve">ziņot par darījumiem pēc </w:t>
      </w:r>
      <w:proofErr w:type="spellStart"/>
      <w:r w:rsidR="00447AA0" w:rsidRPr="004012B5">
        <w:rPr>
          <w:b/>
          <w:szCs w:val="24"/>
        </w:rPr>
        <w:t>MiFIR</w:t>
      </w:r>
      <w:proofErr w:type="spellEnd"/>
      <w:r w:rsidR="00447AA0" w:rsidRPr="004012B5">
        <w:rPr>
          <w:b/>
          <w:szCs w:val="24"/>
        </w:rPr>
        <w:t xml:space="preserve"> regulas </w:t>
      </w:r>
      <w:r w:rsidR="00756B9B" w:rsidRPr="004012B5">
        <w:rPr>
          <w:b/>
          <w:szCs w:val="24"/>
        </w:rPr>
        <w:t>prasībām</w:t>
      </w:r>
      <w:r w:rsidR="00756B9B" w:rsidRPr="004012B5">
        <w:rPr>
          <w:b/>
          <w:color w:val="000000"/>
          <w:szCs w:val="24"/>
          <w:lang w:eastAsia="lv-LV"/>
        </w:rPr>
        <w:t>?</w:t>
      </w:r>
    </w:p>
    <w:p w:rsidR="00756B9B" w:rsidRPr="004012B5" w:rsidRDefault="00756B9B" w:rsidP="00756B9B">
      <w:pPr>
        <w:autoSpaceDE w:val="0"/>
        <w:autoSpaceDN w:val="0"/>
        <w:adjustRightInd w:val="0"/>
        <w:rPr>
          <w:b/>
          <w:szCs w:val="24"/>
        </w:rPr>
      </w:pPr>
    </w:p>
    <w:p w:rsidR="00756B9B" w:rsidRPr="004012B5" w:rsidRDefault="00756B9B" w:rsidP="00756B9B">
      <w:pPr>
        <w:autoSpaceDE w:val="0"/>
        <w:autoSpaceDN w:val="0"/>
        <w:adjustRightInd w:val="0"/>
        <w:rPr>
          <w:color w:val="000000"/>
          <w:szCs w:val="24"/>
          <w:lang w:eastAsia="lv-LV"/>
        </w:rPr>
      </w:pPr>
      <w:r w:rsidRPr="004012B5">
        <w:rPr>
          <w:b/>
          <w:color w:val="000000" w:themeColor="text1"/>
          <w:szCs w:val="24"/>
          <w:u w:val="single"/>
        </w:rPr>
        <w:t>Atbilde</w:t>
      </w:r>
      <w:r w:rsidRPr="004012B5">
        <w:rPr>
          <w:color w:val="000000" w:themeColor="text1"/>
          <w:szCs w:val="24"/>
          <w:u w:val="single"/>
        </w:rPr>
        <w:t>:</w:t>
      </w:r>
      <w:r w:rsidRPr="004012B5">
        <w:rPr>
          <w:color w:val="000000"/>
          <w:szCs w:val="24"/>
          <w:lang w:eastAsia="lv-LV"/>
        </w:rPr>
        <w:t xml:space="preserve"> Saskaņā ar </w:t>
      </w:r>
      <w:r w:rsidRPr="004012B5">
        <w:rPr>
          <w:szCs w:val="24"/>
        </w:rPr>
        <w:t>Regulas Nr.</w:t>
      </w:r>
      <w:r w:rsidRPr="004012B5">
        <w:rPr>
          <w:color w:val="000000"/>
          <w:szCs w:val="24"/>
          <w:lang w:eastAsia="lv-LV"/>
        </w:rPr>
        <w:t xml:space="preserve"> 2017/590 3. panta 2. punktu tiek uzskatīts, ka ieguldījumu brokeru sabiedrība vai kredītiestāde nav izpildījusi darījumu, ja tā ir nosūtījusi rīkojumu saskaņā ar </w:t>
      </w:r>
      <w:r w:rsidRPr="004012B5">
        <w:rPr>
          <w:szCs w:val="24"/>
        </w:rPr>
        <w:t xml:space="preserve">šīs regulas </w:t>
      </w:r>
      <w:r w:rsidRPr="004012B5">
        <w:rPr>
          <w:color w:val="000000"/>
          <w:szCs w:val="24"/>
          <w:lang w:eastAsia="lv-LV"/>
        </w:rPr>
        <w:t xml:space="preserve">4. pantu. Tiek uzskatīts, ka sabiedrība rīkojumu </w:t>
      </w:r>
      <w:r w:rsidR="006143B4" w:rsidRPr="004012B5">
        <w:rPr>
          <w:color w:val="000000"/>
          <w:szCs w:val="24"/>
          <w:lang w:eastAsia="lv-LV"/>
        </w:rPr>
        <w:t xml:space="preserve">nosūtījusi </w:t>
      </w:r>
      <w:r w:rsidRPr="004012B5">
        <w:rPr>
          <w:color w:val="000000"/>
          <w:szCs w:val="24"/>
          <w:lang w:eastAsia="lv-LV"/>
        </w:rPr>
        <w:t>tikai tādā gadījumā, ja ir izpildīti visi regulas 4. pantā minētie nosacījumi:</w:t>
      </w:r>
    </w:p>
    <w:p w:rsidR="00756B9B" w:rsidRPr="004012B5" w:rsidRDefault="00756B9B" w:rsidP="00756B9B">
      <w:pPr>
        <w:autoSpaceDE w:val="0"/>
        <w:autoSpaceDN w:val="0"/>
        <w:adjustRightInd w:val="0"/>
        <w:rPr>
          <w:color w:val="000000"/>
          <w:szCs w:val="24"/>
          <w:lang w:eastAsia="lv-LV"/>
        </w:rPr>
      </w:pPr>
      <w:r w:rsidRPr="004012B5">
        <w:rPr>
          <w:color w:val="000000"/>
          <w:szCs w:val="24"/>
          <w:lang w:eastAsia="lv-LV"/>
        </w:rPr>
        <w:t xml:space="preserve">a) rīkojums tika saņemts no klienta vai tas izriet no lēmuma iegādāt vai atsavināt konkrētu finanšu instrumentu saskaņā ar viena vai vairāku klientu piešķirtu </w:t>
      </w:r>
      <w:proofErr w:type="spellStart"/>
      <w:r w:rsidRPr="004012B5">
        <w:rPr>
          <w:color w:val="000000"/>
          <w:szCs w:val="24"/>
          <w:lang w:eastAsia="lv-LV"/>
        </w:rPr>
        <w:t>diskrecionāru</w:t>
      </w:r>
      <w:proofErr w:type="spellEnd"/>
      <w:r w:rsidRPr="004012B5">
        <w:rPr>
          <w:color w:val="000000"/>
          <w:szCs w:val="24"/>
          <w:lang w:eastAsia="lv-LV"/>
        </w:rPr>
        <w:t xml:space="preserve"> pilnvarojumu;</w:t>
      </w:r>
    </w:p>
    <w:p w:rsidR="00756B9B" w:rsidRPr="004012B5" w:rsidRDefault="00756B9B" w:rsidP="00756B9B">
      <w:pPr>
        <w:autoSpaceDE w:val="0"/>
        <w:autoSpaceDN w:val="0"/>
        <w:adjustRightInd w:val="0"/>
        <w:rPr>
          <w:color w:val="000000"/>
          <w:szCs w:val="24"/>
          <w:lang w:eastAsia="lv-LV"/>
        </w:rPr>
      </w:pPr>
      <w:r w:rsidRPr="004012B5">
        <w:rPr>
          <w:color w:val="000000"/>
          <w:szCs w:val="24"/>
          <w:lang w:eastAsia="lv-LV"/>
        </w:rPr>
        <w:t>b) sabiedrība ir nosūtījusi citai ieguldījumu brokeru sabiedrībai vai kredītiestādei (saņēmēja sabiedrībai) visu 4. panta 2. punktā minēto informāciju par rīkojumu;</w:t>
      </w:r>
    </w:p>
    <w:p w:rsidR="00756B9B" w:rsidRPr="004012B5" w:rsidRDefault="00756B9B" w:rsidP="00756B9B">
      <w:pPr>
        <w:autoSpaceDE w:val="0"/>
        <w:autoSpaceDN w:val="0"/>
        <w:adjustRightInd w:val="0"/>
        <w:rPr>
          <w:color w:val="000000"/>
          <w:szCs w:val="24"/>
          <w:lang w:eastAsia="lv-LV"/>
        </w:rPr>
      </w:pPr>
      <w:r w:rsidRPr="004012B5">
        <w:rPr>
          <w:color w:val="000000"/>
          <w:szCs w:val="24"/>
          <w:lang w:eastAsia="lv-LV"/>
        </w:rPr>
        <w:t xml:space="preserve">c) uz saņēmēju sabiedrību attiecas </w:t>
      </w:r>
      <w:proofErr w:type="spellStart"/>
      <w:r w:rsidR="00447AA0" w:rsidRPr="004012B5">
        <w:rPr>
          <w:szCs w:val="24"/>
        </w:rPr>
        <w:t>MiFIR</w:t>
      </w:r>
      <w:proofErr w:type="spellEnd"/>
      <w:r w:rsidR="00447AA0" w:rsidRPr="004012B5">
        <w:rPr>
          <w:szCs w:val="24"/>
        </w:rPr>
        <w:t xml:space="preserve"> regulas </w:t>
      </w:r>
      <w:r w:rsidRPr="004012B5">
        <w:rPr>
          <w:color w:val="000000"/>
          <w:szCs w:val="24"/>
          <w:lang w:eastAsia="lv-LV"/>
        </w:rPr>
        <w:t xml:space="preserve">26. panta 1. punkts (t.i., saņēmēja sabiedrība ir </w:t>
      </w:r>
      <w:r w:rsidR="00B64FCB">
        <w:rPr>
          <w:color w:val="000000"/>
          <w:szCs w:val="24"/>
          <w:lang w:eastAsia="lv-LV"/>
        </w:rPr>
        <w:t>ieguldījumu pakalpojumu sniedzējs</w:t>
      </w:r>
      <w:r w:rsidRPr="004012B5">
        <w:rPr>
          <w:color w:val="000000"/>
          <w:szCs w:val="24"/>
          <w:lang w:eastAsia="lv-LV"/>
        </w:rPr>
        <w:t xml:space="preserve"> </w:t>
      </w:r>
      <w:r w:rsidR="0030607D">
        <w:rPr>
          <w:color w:val="000000"/>
          <w:szCs w:val="24"/>
          <w:lang w:eastAsia="lv-LV"/>
        </w:rPr>
        <w:t>(</w:t>
      </w:r>
      <w:proofErr w:type="spellStart"/>
      <w:r w:rsidR="0030607D" w:rsidRPr="00454F9D">
        <w:rPr>
          <w:i/>
          <w:color w:val="000000"/>
          <w:szCs w:val="24"/>
          <w:lang w:eastAsia="lv-LV"/>
        </w:rPr>
        <w:t>investment</w:t>
      </w:r>
      <w:proofErr w:type="spellEnd"/>
      <w:r w:rsidR="0030607D" w:rsidRPr="00454F9D">
        <w:rPr>
          <w:i/>
          <w:color w:val="000000"/>
          <w:szCs w:val="24"/>
          <w:lang w:eastAsia="lv-LV"/>
        </w:rPr>
        <w:t xml:space="preserve"> </w:t>
      </w:r>
      <w:proofErr w:type="spellStart"/>
      <w:r w:rsidR="0030607D" w:rsidRPr="00454F9D">
        <w:rPr>
          <w:i/>
          <w:color w:val="000000"/>
          <w:szCs w:val="24"/>
          <w:lang w:eastAsia="lv-LV"/>
        </w:rPr>
        <w:t>firm</w:t>
      </w:r>
      <w:proofErr w:type="spellEnd"/>
      <w:r w:rsidR="0030607D">
        <w:rPr>
          <w:color w:val="000000"/>
          <w:szCs w:val="24"/>
          <w:lang w:eastAsia="lv-LV"/>
        </w:rPr>
        <w:t xml:space="preserve">) </w:t>
      </w:r>
      <w:r w:rsidR="005656E6">
        <w:rPr>
          <w:color w:val="000000"/>
          <w:szCs w:val="24"/>
          <w:lang w:eastAsia="lv-LV"/>
        </w:rPr>
        <w:t>MIFID</w:t>
      </w:r>
      <w:r w:rsidRPr="004012B5">
        <w:rPr>
          <w:color w:val="000000"/>
          <w:szCs w:val="24"/>
          <w:lang w:eastAsia="lv-LV"/>
        </w:rPr>
        <w:t xml:space="preserve"> II izpratnē), un tā piekrīt</w:t>
      </w:r>
      <w:proofErr w:type="gramStart"/>
      <w:r w:rsidRPr="004012B5">
        <w:rPr>
          <w:color w:val="000000"/>
          <w:szCs w:val="24"/>
          <w:lang w:eastAsia="lv-LV"/>
        </w:rPr>
        <w:t xml:space="preserve"> vai nu ziņot par darījumu, kas izriet no attiecīgā rīkojuma</w:t>
      </w:r>
      <w:proofErr w:type="gramEnd"/>
      <w:r w:rsidRPr="004012B5">
        <w:rPr>
          <w:color w:val="000000"/>
          <w:szCs w:val="24"/>
          <w:lang w:eastAsia="lv-LV"/>
        </w:rPr>
        <w:t>, vai arī nosūtīt cita</w:t>
      </w:r>
      <w:r w:rsidR="00B64FCB">
        <w:rPr>
          <w:color w:val="000000"/>
          <w:szCs w:val="24"/>
          <w:lang w:eastAsia="lv-LV"/>
        </w:rPr>
        <w:t>m</w:t>
      </w:r>
      <w:r w:rsidRPr="004012B5">
        <w:rPr>
          <w:color w:val="000000"/>
          <w:szCs w:val="24"/>
          <w:lang w:eastAsia="lv-LV"/>
        </w:rPr>
        <w:t xml:space="preserve"> </w:t>
      </w:r>
      <w:r w:rsidR="00B64FCB">
        <w:rPr>
          <w:color w:val="000000"/>
          <w:szCs w:val="24"/>
          <w:lang w:eastAsia="lv-LV"/>
        </w:rPr>
        <w:t>ieguldījumu pakalpojumu sniedzējam</w:t>
      </w:r>
      <w:r w:rsidR="0030607D" w:rsidRPr="00FB1480">
        <w:rPr>
          <w:color w:val="000000"/>
          <w:szCs w:val="24"/>
          <w:lang w:eastAsia="lv-LV"/>
        </w:rPr>
        <w:t xml:space="preserve"> </w:t>
      </w:r>
      <w:r w:rsidRPr="00FB1480">
        <w:rPr>
          <w:color w:val="000000"/>
          <w:szCs w:val="24"/>
          <w:lang w:eastAsia="lv-LV"/>
        </w:rPr>
        <w:t>sīkāku</w:t>
      </w:r>
      <w:r w:rsidRPr="004012B5">
        <w:rPr>
          <w:color w:val="000000"/>
          <w:szCs w:val="24"/>
          <w:lang w:eastAsia="lv-LV"/>
        </w:rPr>
        <w:t xml:space="preserve"> informāciju par rīkojumu saskaņā ar šo pantu.</w:t>
      </w:r>
    </w:p>
    <w:p w:rsidR="00756B9B" w:rsidRPr="004012B5" w:rsidRDefault="00756B9B" w:rsidP="00756B9B">
      <w:pPr>
        <w:autoSpaceDE w:val="0"/>
        <w:autoSpaceDN w:val="0"/>
        <w:adjustRightInd w:val="0"/>
        <w:rPr>
          <w:color w:val="000000"/>
          <w:szCs w:val="24"/>
          <w:lang w:eastAsia="lv-LV"/>
        </w:rPr>
      </w:pPr>
    </w:p>
    <w:p w:rsidR="00756B9B" w:rsidRPr="004012B5" w:rsidRDefault="00756B9B" w:rsidP="00756B9B">
      <w:pPr>
        <w:autoSpaceDE w:val="0"/>
        <w:autoSpaceDN w:val="0"/>
        <w:adjustRightInd w:val="0"/>
        <w:rPr>
          <w:color w:val="000000"/>
          <w:szCs w:val="24"/>
          <w:lang w:eastAsia="lv-LV"/>
        </w:rPr>
      </w:pPr>
      <w:r w:rsidRPr="004012B5">
        <w:rPr>
          <w:color w:val="000000"/>
          <w:szCs w:val="24"/>
          <w:lang w:eastAsia="lv-LV"/>
        </w:rPr>
        <w:t xml:space="preserve">Ja ieguldījumu brokeru sabiedrība vai kredītiestāde nodod rīkojumu izpildei ārvalstu sabiedrībai (piemēram, ASV, Šveicē), uz kuru neattiecas pienākums ziņot par darījumiem saskaņā ar </w:t>
      </w:r>
      <w:proofErr w:type="spellStart"/>
      <w:r w:rsidR="00447AA0" w:rsidRPr="004012B5">
        <w:rPr>
          <w:szCs w:val="24"/>
        </w:rPr>
        <w:t>MiFIR</w:t>
      </w:r>
      <w:proofErr w:type="spellEnd"/>
      <w:r w:rsidR="00447AA0" w:rsidRPr="004012B5">
        <w:rPr>
          <w:szCs w:val="24"/>
        </w:rPr>
        <w:t xml:space="preserve"> regulas </w:t>
      </w:r>
      <w:r w:rsidRPr="004012B5">
        <w:rPr>
          <w:color w:val="000000"/>
          <w:szCs w:val="24"/>
          <w:lang w:eastAsia="lv-LV"/>
        </w:rPr>
        <w:t xml:space="preserve">26. pantu, tad par šo darījumu jāziņo pašai ieguldījumu brokeru sabiedrībai vai kredītiestādei. </w:t>
      </w:r>
    </w:p>
    <w:p w:rsidR="00756B9B" w:rsidRPr="004012B5" w:rsidRDefault="00756B9B" w:rsidP="00756B9B">
      <w:pPr>
        <w:autoSpaceDE w:val="0"/>
        <w:autoSpaceDN w:val="0"/>
        <w:adjustRightInd w:val="0"/>
        <w:rPr>
          <w:color w:val="000000"/>
          <w:szCs w:val="24"/>
          <w:lang w:eastAsia="lv-LV"/>
        </w:rPr>
      </w:pPr>
    </w:p>
    <w:p w:rsidR="00756B9B" w:rsidRPr="004012B5" w:rsidRDefault="00756B9B" w:rsidP="00756B9B">
      <w:pPr>
        <w:autoSpaceDE w:val="0"/>
        <w:autoSpaceDN w:val="0"/>
        <w:adjustRightInd w:val="0"/>
        <w:rPr>
          <w:color w:val="000000"/>
          <w:szCs w:val="24"/>
          <w:lang w:eastAsia="lv-LV"/>
        </w:rPr>
      </w:pPr>
      <w:r w:rsidRPr="004012B5">
        <w:rPr>
          <w:color w:val="000000"/>
          <w:szCs w:val="24"/>
          <w:lang w:eastAsia="lv-LV"/>
        </w:rPr>
        <w:t>Par ziņošanu šādā gadījumā un ziņojuma lauku aizpildīšanu skatīt Pamatnostādņu 66.</w:t>
      </w:r>
      <w:r w:rsidR="007F2DE9">
        <w:rPr>
          <w:color w:val="000000"/>
          <w:szCs w:val="24"/>
          <w:lang w:eastAsia="lv-LV"/>
        </w:rPr>
        <w:t> </w:t>
      </w:r>
      <w:r w:rsidRPr="004012B5">
        <w:rPr>
          <w:color w:val="000000"/>
          <w:szCs w:val="24"/>
          <w:lang w:eastAsia="lv-LV"/>
        </w:rPr>
        <w:t>piemēru.</w:t>
      </w:r>
    </w:p>
    <w:p w:rsidR="00756B9B" w:rsidRPr="004012B5" w:rsidRDefault="00756B9B" w:rsidP="00756B9B">
      <w:pPr>
        <w:autoSpaceDE w:val="0"/>
        <w:autoSpaceDN w:val="0"/>
        <w:adjustRightInd w:val="0"/>
        <w:rPr>
          <w:b/>
          <w:color w:val="000000" w:themeColor="text1"/>
          <w:szCs w:val="24"/>
        </w:rPr>
      </w:pPr>
    </w:p>
    <w:p w:rsidR="00756B9B" w:rsidRPr="004012B5" w:rsidRDefault="002C3191" w:rsidP="00756B9B">
      <w:pPr>
        <w:autoSpaceDE w:val="0"/>
        <w:autoSpaceDN w:val="0"/>
        <w:adjustRightInd w:val="0"/>
        <w:rPr>
          <w:b/>
          <w:color w:val="000000"/>
          <w:szCs w:val="24"/>
          <w:lang w:eastAsia="lv-LV"/>
        </w:rPr>
      </w:pPr>
      <w:r>
        <w:rPr>
          <w:b/>
          <w:color w:val="000000" w:themeColor="text1"/>
          <w:szCs w:val="24"/>
        </w:rPr>
        <w:t>4</w:t>
      </w:r>
      <w:r w:rsidR="00756B9B" w:rsidRPr="004012B5">
        <w:rPr>
          <w:b/>
          <w:color w:val="000000" w:themeColor="text1"/>
          <w:szCs w:val="24"/>
        </w:rPr>
        <w:t>. j</w:t>
      </w:r>
      <w:r w:rsidR="00756B9B" w:rsidRPr="004012B5">
        <w:rPr>
          <w:b/>
          <w:color w:val="000000" w:themeColor="text1"/>
          <w:szCs w:val="24"/>
          <w:u w:val="single"/>
        </w:rPr>
        <w:t>autājums:</w:t>
      </w:r>
      <w:r w:rsidR="00756B9B" w:rsidRPr="004012B5">
        <w:rPr>
          <w:b/>
          <w:color w:val="000000" w:themeColor="text1"/>
          <w:szCs w:val="24"/>
        </w:rPr>
        <w:t xml:space="preserve"> </w:t>
      </w:r>
      <w:r w:rsidR="00756B9B" w:rsidRPr="004012B5">
        <w:rPr>
          <w:b/>
          <w:color w:val="000000"/>
          <w:szCs w:val="24"/>
          <w:lang w:eastAsia="lv-LV"/>
        </w:rPr>
        <w:t xml:space="preserve">Attiecībā uz finanšu instrumentu pārvedumiem saskaņā ar </w:t>
      </w:r>
      <w:r w:rsidR="00756B9B" w:rsidRPr="004012B5">
        <w:rPr>
          <w:b/>
          <w:szCs w:val="24"/>
        </w:rPr>
        <w:t>Regulas Nr.</w:t>
      </w:r>
      <w:r w:rsidR="007F2DE9">
        <w:rPr>
          <w:b/>
          <w:color w:val="000000"/>
          <w:szCs w:val="24"/>
          <w:lang w:eastAsia="lv-LV"/>
        </w:rPr>
        <w:t> </w:t>
      </w:r>
      <w:r w:rsidR="00756B9B" w:rsidRPr="004012B5">
        <w:rPr>
          <w:b/>
          <w:color w:val="000000"/>
          <w:szCs w:val="24"/>
          <w:lang w:eastAsia="lv-LV"/>
        </w:rPr>
        <w:t xml:space="preserve">2017/590 2. panta 4. punktu </w:t>
      </w:r>
      <w:r w:rsidR="00756B9B" w:rsidRPr="0063448E">
        <w:rPr>
          <w:b/>
          <w:color w:val="000000"/>
          <w:szCs w:val="24"/>
          <w:lang w:eastAsia="lv-LV"/>
        </w:rPr>
        <w:t>ir saprotams</w:t>
      </w:r>
      <w:r w:rsidR="00756B9B" w:rsidRPr="004012B5">
        <w:rPr>
          <w:b/>
          <w:color w:val="000000"/>
          <w:szCs w:val="24"/>
          <w:lang w:eastAsia="lv-LV"/>
        </w:rPr>
        <w:t xml:space="preserve">, ka pienākums </w:t>
      </w:r>
      <w:r w:rsidR="00756B9B" w:rsidRPr="004012B5">
        <w:rPr>
          <w:b/>
          <w:szCs w:val="24"/>
        </w:rPr>
        <w:t xml:space="preserve">ziņot par darījumiem </w:t>
      </w:r>
      <w:r w:rsidR="00756B9B" w:rsidRPr="004012B5">
        <w:rPr>
          <w:b/>
          <w:color w:val="000000"/>
          <w:szCs w:val="24"/>
          <w:lang w:eastAsia="lv-LV"/>
        </w:rPr>
        <w:lastRenderedPageBreak/>
        <w:t xml:space="preserve">attiecas arī uz finanšu instrumentu pārvedumiem, bet </w:t>
      </w:r>
      <w:r w:rsidR="00756B9B" w:rsidRPr="004012B5">
        <w:rPr>
          <w:b/>
          <w:color w:val="000000"/>
          <w:shd w:val="clear" w:color="auto" w:fill="FFFFFF"/>
        </w:rPr>
        <w:t>pārredzamības</w:t>
      </w:r>
      <w:r w:rsidR="00756B9B" w:rsidRPr="004012B5">
        <w:rPr>
          <w:b/>
          <w:szCs w:val="24"/>
        </w:rPr>
        <w:t xml:space="preserve"> </w:t>
      </w:r>
      <w:r w:rsidR="00756B9B" w:rsidRPr="004012B5">
        <w:rPr>
          <w:b/>
          <w:color w:val="000000"/>
          <w:szCs w:val="24"/>
          <w:lang w:eastAsia="lv-LV"/>
        </w:rPr>
        <w:t>pienākums (</w:t>
      </w:r>
      <w:r w:rsidR="007F2DE9">
        <w:rPr>
          <w:b/>
          <w:color w:val="000000"/>
          <w:szCs w:val="24"/>
          <w:lang w:eastAsia="lv-LV"/>
        </w:rPr>
        <w:t>izmantojot</w:t>
      </w:r>
      <w:r w:rsidR="007F2DE9" w:rsidRPr="004012B5">
        <w:rPr>
          <w:b/>
          <w:color w:val="000000"/>
          <w:szCs w:val="24"/>
          <w:lang w:eastAsia="lv-LV"/>
        </w:rPr>
        <w:t xml:space="preserve"> </w:t>
      </w:r>
      <w:r w:rsidR="00756B9B" w:rsidRPr="004012B5">
        <w:rPr>
          <w:b/>
          <w:color w:val="000000"/>
          <w:szCs w:val="24"/>
          <w:lang w:eastAsia="lv-LV"/>
        </w:rPr>
        <w:t xml:space="preserve">APS) </w:t>
      </w:r>
      <w:r w:rsidR="007F2DE9">
        <w:rPr>
          <w:b/>
          <w:color w:val="000000"/>
          <w:szCs w:val="24"/>
          <w:lang w:eastAsia="lv-LV"/>
        </w:rPr>
        <w:t>–</w:t>
      </w:r>
      <w:r w:rsidR="007F2DE9" w:rsidRPr="004012B5">
        <w:rPr>
          <w:b/>
          <w:color w:val="000000"/>
          <w:szCs w:val="24"/>
          <w:lang w:eastAsia="lv-LV"/>
        </w:rPr>
        <w:t xml:space="preserve"> </w:t>
      </w:r>
      <w:r w:rsidR="00756B9B" w:rsidRPr="004012B5">
        <w:rPr>
          <w:b/>
          <w:color w:val="000000"/>
          <w:szCs w:val="24"/>
          <w:lang w:eastAsia="lv-LV"/>
        </w:rPr>
        <w:t xml:space="preserve">neattiecas. </w:t>
      </w:r>
      <w:r w:rsidR="00DD07A3">
        <w:rPr>
          <w:b/>
          <w:color w:val="000000"/>
          <w:szCs w:val="24"/>
          <w:lang w:eastAsia="lv-LV"/>
        </w:rPr>
        <w:t xml:space="preserve">Ja </w:t>
      </w:r>
      <w:r w:rsidR="00756B9B" w:rsidRPr="004012B5">
        <w:rPr>
          <w:b/>
          <w:color w:val="000000"/>
          <w:szCs w:val="24"/>
          <w:lang w:eastAsia="lv-LV"/>
        </w:rPr>
        <w:t>finanšu instrumentu pārvedumi</w:t>
      </w:r>
      <w:r w:rsidR="00DD07A3">
        <w:rPr>
          <w:b/>
          <w:color w:val="000000"/>
          <w:szCs w:val="24"/>
          <w:lang w:eastAsia="lv-LV"/>
        </w:rPr>
        <w:t xml:space="preserve"> ir</w:t>
      </w:r>
      <w:r w:rsidR="00756B9B" w:rsidRPr="004012B5">
        <w:rPr>
          <w:b/>
          <w:color w:val="000000"/>
          <w:szCs w:val="24"/>
          <w:lang w:eastAsia="lv-LV"/>
        </w:rPr>
        <w:t xml:space="preserve"> vienas bankas ietvaros starp viena klienta portfeļiem (piemēram, no brokera finanšu instrumentu konta pārvedot finanšu instrumentus uz </w:t>
      </w:r>
      <w:r w:rsidR="00756B9B" w:rsidRPr="004012B5">
        <w:rPr>
          <w:b/>
          <w:color w:val="000000"/>
          <w:shd w:val="clear" w:color="auto" w:fill="FFFFFF"/>
        </w:rPr>
        <w:t xml:space="preserve">portfeļa pārvaldības </w:t>
      </w:r>
      <w:r w:rsidR="00756B9B" w:rsidRPr="004012B5">
        <w:rPr>
          <w:b/>
          <w:color w:val="000000"/>
          <w:szCs w:val="24"/>
          <w:lang w:eastAsia="lv-LV"/>
        </w:rPr>
        <w:t xml:space="preserve">kontu) – vai arī par šādu pārvedumu </w:t>
      </w:r>
      <w:r w:rsidR="007F2DE9">
        <w:rPr>
          <w:b/>
          <w:color w:val="000000"/>
          <w:szCs w:val="24"/>
          <w:lang w:eastAsia="lv-LV"/>
        </w:rPr>
        <w:t>ir</w:t>
      </w:r>
      <w:r w:rsidR="007F2DE9" w:rsidRPr="004012B5">
        <w:rPr>
          <w:b/>
          <w:color w:val="000000"/>
          <w:szCs w:val="24"/>
          <w:lang w:eastAsia="lv-LV"/>
        </w:rPr>
        <w:t xml:space="preserve"> </w:t>
      </w:r>
      <w:r w:rsidR="007F2DE9">
        <w:rPr>
          <w:b/>
          <w:color w:val="000000"/>
          <w:szCs w:val="24"/>
          <w:lang w:eastAsia="lv-LV"/>
        </w:rPr>
        <w:t>jā</w:t>
      </w:r>
      <w:r w:rsidR="00756B9B" w:rsidRPr="004012B5">
        <w:rPr>
          <w:b/>
          <w:color w:val="000000"/>
          <w:szCs w:val="24"/>
          <w:lang w:eastAsia="lv-LV"/>
        </w:rPr>
        <w:t xml:space="preserve">ziņo? </w:t>
      </w:r>
    </w:p>
    <w:p w:rsidR="00756B9B" w:rsidRPr="004012B5" w:rsidRDefault="00756B9B" w:rsidP="00756B9B">
      <w:pPr>
        <w:autoSpaceDE w:val="0"/>
        <w:autoSpaceDN w:val="0"/>
        <w:adjustRightInd w:val="0"/>
        <w:rPr>
          <w:b/>
          <w:color w:val="000000" w:themeColor="text1"/>
          <w:szCs w:val="24"/>
          <w:u w:val="single"/>
        </w:rPr>
      </w:pPr>
    </w:p>
    <w:p w:rsidR="00A4765E" w:rsidRPr="004A2193" w:rsidRDefault="00756B9B" w:rsidP="00A4765E">
      <w:pPr>
        <w:autoSpaceDE w:val="0"/>
        <w:autoSpaceDN w:val="0"/>
        <w:adjustRightInd w:val="0"/>
        <w:rPr>
          <w:rFonts w:ascii="Helv" w:hAnsi="Helv" w:cs="Helv"/>
          <w:b/>
          <w:color w:val="000000"/>
          <w:sz w:val="20"/>
          <w:lang w:eastAsia="lv-LV"/>
        </w:rPr>
      </w:pPr>
      <w:r w:rsidRPr="004012B5">
        <w:rPr>
          <w:b/>
          <w:color w:val="000000" w:themeColor="text1"/>
          <w:szCs w:val="24"/>
          <w:u w:val="single"/>
        </w:rPr>
        <w:t>Atbilde</w:t>
      </w:r>
      <w:r w:rsidRPr="004012B5">
        <w:rPr>
          <w:color w:val="000000" w:themeColor="text1"/>
          <w:szCs w:val="24"/>
          <w:u w:val="single"/>
        </w:rPr>
        <w:t>:</w:t>
      </w:r>
      <w:r w:rsidRPr="004012B5">
        <w:rPr>
          <w:color w:val="000000"/>
          <w:szCs w:val="24"/>
          <w:lang w:eastAsia="lv-LV"/>
        </w:rPr>
        <w:t xml:space="preserve"> </w:t>
      </w:r>
      <w:r w:rsidR="006456D5" w:rsidRPr="004012B5">
        <w:rPr>
          <w:szCs w:val="24"/>
        </w:rPr>
        <w:t xml:space="preserve">Regulas Nr. 2017/590 2. panta 5. punkta d) apakšpunkts nosaka, ka iegāde vai atsavināšana, kas notiek tikai turēšanas darbības rezultātā, nav uzskatāma par darījumu </w:t>
      </w:r>
      <w:proofErr w:type="spellStart"/>
      <w:r w:rsidR="006456D5" w:rsidRPr="004012B5">
        <w:rPr>
          <w:szCs w:val="24"/>
        </w:rPr>
        <w:t>MiFIR</w:t>
      </w:r>
      <w:proofErr w:type="spellEnd"/>
      <w:r w:rsidR="006456D5" w:rsidRPr="004012B5">
        <w:rPr>
          <w:szCs w:val="24"/>
        </w:rPr>
        <w:t xml:space="preserve"> regulas 26. panta izpratnē. Tādējādi, ja finanšu instrumentu pārveduma rezultātā nemainās šo finanšu instrumentu īpašnieks (t.i., pārvedums notiek starp viena klienta kontiem), tad par šādu pārvedumu nav jāziņo. Šis nosacījums ir spēkā neatkarīgi no tā, vai pārvedums notiek vienā ieguldījumu brokeru sabiedrībā vai kredītiestādē vai starp divām dažādām ieguldījumu brokeru sabiedrībām vai kredītiestādēm.</w:t>
      </w:r>
      <w:r w:rsidR="00652F67">
        <w:rPr>
          <w:szCs w:val="24"/>
        </w:rPr>
        <w:t xml:space="preserve"> </w:t>
      </w:r>
      <w:r w:rsidR="006456D5" w:rsidRPr="004012B5">
        <w:rPr>
          <w:szCs w:val="24"/>
        </w:rPr>
        <w:t>Savukārt par finanšu instrumentu pārvedumiem starp dažādiem klientiem ir jāziņo.</w:t>
      </w:r>
      <w:r w:rsidR="00652F67">
        <w:rPr>
          <w:szCs w:val="24"/>
        </w:rPr>
        <w:t xml:space="preserve"> </w:t>
      </w:r>
      <w:r w:rsidR="006456D5">
        <w:rPr>
          <w:color w:val="000000"/>
          <w:szCs w:val="24"/>
          <w:lang w:eastAsia="lv-LV"/>
        </w:rPr>
        <w:t>Attiecīgi, j</w:t>
      </w:r>
      <w:r w:rsidR="006456D5" w:rsidRPr="004012B5">
        <w:rPr>
          <w:color w:val="000000"/>
          <w:szCs w:val="24"/>
          <w:lang w:eastAsia="lv-LV"/>
        </w:rPr>
        <w:t>a pārvedumi tiek veikti starp viena klienta diviem kontiem, piemēram, no klienta finanšu instrumenta konta</w:t>
      </w:r>
      <w:r w:rsidR="006456D5">
        <w:rPr>
          <w:color w:val="000000"/>
          <w:szCs w:val="24"/>
          <w:lang w:eastAsia="lv-LV"/>
        </w:rPr>
        <w:t>, kas paredzēts brokeru pakalpojumiem,</w:t>
      </w:r>
      <w:r w:rsidR="006456D5" w:rsidRPr="004012B5">
        <w:rPr>
          <w:color w:val="000000"/>
          <w:szCs w:val="24"/>
          <w:lang w:eastAsia="lv-LV"/>
        </w:rPr>
        <w:t xml:space="preserve"> uz portfeļa pārvaldības kontu, tad par šādiem pārvedumiem nav jāziņo</w:t>
      </w:r>
      <w:r w:rsidR="006456D5">
        <w:rPr>
          <w:color w:val="000000"/>
          <w:szCs w:val="24"/>
          <w:lang w:eastAsia="lv-LV"/>
        </w:rPr>
        <w:t xml:space="preserve">, jo </w:t>
      </w:r>
      <w:r w:rsidR="00D2078E">
        <w:rPr>
          <w:color w:val="000000"/>
          <w:szCs w:val="24"/>
          <w:lang w:eastAsia="lv-LV"/>
        </w:rPr>
        <w:t xml:space="preserve">īpašnieks </w:t>
      </w:r>
      <w:r w:rsidR="006456D5">
        <w:rPr>
          <w:color w:val="000000"/>
          <w:szCs w:val="24"/>
          <w:lang w:eastAsia="lv-LV"/>
        </w:rPr>
        <w:t>nemain</w:t>
      </w:r>
      <w:r w:rsidR="00FB0CF5">
        <w:rPr>
          <w:color w:val="000000"/>
          <w:szCs w:val="24"/>
          <w:lang w:eastAsia="lv-LV"/>
        </w:rPr>
        <w:t>ā</w:t>
      </w:r>
      <w:r w:rsidR="006456D5">
        <w:rPr>
          <w:color w:val="000000"/>
          <w:szCs w:val="24"/>
          <w:lang w:eastAsia="lv-LV"/>
        </w:rPr>
        <w:t>s</w:t>
      </w:r>
      <w:r w:rsidR="006456D5" w:rsidRPr="004012B5">
        <w:rPr>
          <w:color w:val="000000"/>
          <w:szCs w:val="24"/>
          <w:lang w:eastAsia="lv-LV"/>
        </w:rPr>
        <w:t>.</w:t>
      </w:r>
      <w:r w:rsidR="00A4765E" w:rsidRPr="00A4765E">
        <w:t xml:space="preserve"> </w:t>
      </w:r>
      <w:r w:rsidR="004A2193" w:rsidRPr="004A2193">
        <w:t xml:space="preserve">Darbības, kas aprakstītas Regulas Nr. 2017/590 2. panta 4. punktā raksturo </w:t>
      </w:r>
      <w:proofErr w:type="gramStart"/>
      <w:r w:rsidR="004A2193" w:rsidRPr="004A2193">
        <w:t>vienlaicīgu pirkšanas</w:t>
      </w:r>
      <w:proofErr w:type="gramEnd"/>
      <w:r w:rsidR="004A2193" w:rsidRPr="004A2193">
        <w:t>-pārdošanas darījumu, kur pircējs un pārdevējs ir viena un tā pati persona (</w:t>
      </w:r>
      <w:r w:rsidR="00B64FCB">
        <w:rPr>
          <w:color w:val="000000"/>
          <w:szCs w:val="24"/>
          <w:lang w:eastAsia="lv-LV"/>
        </w:rPr>
        <w:t>ieguldījumu pakalpojumu sniedzējs</w:t>
      </w:r>
      <w:r w:rsidR="004A2193" w:rsidRPr="004A2193">
        <w:t xml:space="preserve"> vai klients). Par ziņošanu saistībā ar finanšu vērtspapīru pārvedumiem lūdzam skatīt Pamatnostādņu 5.6.1</w:t>
      </w:r>
      <w:r w:rsidR="00FB0CF5">
        <w:t>.</w:t>
      </w:r>
      <w:r w:rsidR="004A2193" w:rsidRPr="004A2193">
        <w:t xml:space="preserve"> un 5.20</w:t>
      </w:r>
      <w:r w:rsidR="00FB0CF5">
        <w:t>.</w:t>
      </w:r>
      <w:r w:rsidR="004A2193" w:rsidRPr="004A2193">
        <w:t xml:space="preserve"> iedaļu un šajās iedaļās minētos piemērus.</w:t>
      </w:r>
    </w:p>
    <w:p w:rsidR="006456D5" w:rsidRPr="004012B5" w:rsidRDefault="00A4765E" w:rsidP="00652F67">
      <w:pPr>
        <w:rPr>
          <w:color w:val="000000"/>
          <w:szCs w:val="24"/>
          <w:lang w:eastAsia="lv-LV"/>
        </w:rPr>
      </w:pPr>
      <w:r>
        <w:rPr>
          <w:color w:val="000000"/>
          <w:szCs w:val="24"/>
          <w:lang w:eastAsia="lv-LV"/>
        </w:rPr>
        <w:t xml:space="preserve"> </w:t>
      </w:r>
    </w:p>
    <w:p w:rsidR="00756B9B" w:rsidRPr="004012B5" w:rsidRDefault="002C3191" w:rsidP="00756B9B">
      <w:pPr>
        <w:autoSpaceDE w:val="0"/>
        <w:autoSpaceDN w:val="0"/>
        <w:adjustRightInd w:val="0"/>
        <w:rPr>
          <w:b/>
          <w:color w:val="000000"/>
          <w:szCs w:val="24"/>
          <w:lang w:eastAsia="lv-LV"/>
        </w:rPr>
      </w:pPr>
      <w:r>
        <w:rPr>
          <w:b/>
          <w:color w:val="000000" w:themeColor="text1"/>
          <w:szCs w:val="24"/>
        </w:rPr>
        <w:t>5</w:t>
      </w:r>
      <w:r w:rsidR="00756B9B" w:rsidRPr="004012B5">
        <w:rPr>
          <w:b/>
          <w:color w:val="000000" w:themeColor="text1"/>
          <w:szCs w:val="24"/>
        </w:rPr>
        <w:t>. j</w:t>
      </w:r>
      <w:r w:rsidR="00756B9B" w:rsidRPr="004012B5">
        <w:rPr>
          <w:b/>
          <w:color w:val="000000" w:themeColor="text1"/>
          <w:szCs w:val="24"/>
          <w:u w:val="single"/>
        </w:rPr>
        <w:t>autājums:</w:t>
      </w:r>
      <w:r w:rsidR="00756B9B" w:rsidRPr="004012B5">
        <w:rPr>
          <w:b/>
          <w:color w:val="000000" w:themeColor="text1"/>
          <w:szCs w:val="24"/>
        </w:rPr>
        <w:t xml:space="preserve"> </w:t>
      </w:r>
      <w:r w:rsidR="00756B9B" w:rsidRPr="004012B5">
        <w:rPr>
          <w:b/>
          <w:color w:val="000000"/>
          <w:szCs w:val="24"/>
          <w:lang w:eastAsia="lv-LV"/>
        </w:rPr>
        <w:t>Ja situācij</w:t>
      </w:r>
      <w:r w:rsidR="00D73AE2">
        <w:rPr>
          <w:b/>
          <w:color w:val="000000"/>
          <w:szCs w:val="24"/>
          <w:lang w:eastAsia="lv-LV"/>
        </w:rPr>
        <w:t>ā</w:t>
      </w:r>
      <w:r w:rsidR="00756B9B" w:rsidRPr="004012B5">
        <w:rPr>
          <w:b/>
          <w:color w:val="000000"/>
          <w:szCs w:val="24"/>
          <w:lang w:eastAsia="lv-LV"/>
        </w:rPr>
        <w:t xml:space="preserve">, kad brokeris prasa papildu depozītu, lai neapdraudētu </w:t>
      </w:r>
      <w:r w:rsidR="00D73AE2">
        <w:rPr>
          <w:b/>
          <w:color w:val="000000"/>
          <w:szCs w:val="24"/>
          <w:lang w:eastAsia="lv-LV"/>
        </w:rPr>
        <w:t>drošības rezerves pieprasījumu</w:t>
      </w:r>
      <w:r w:rsidR="00756B9B" w:rsidRPr="004012B5">
        <w:rPr>
          <w:b/>
          <w:color w:val="000000"/>
          <w:szCs w:val="24"/>
          <w:lang w:eastAsia="lv-LV"/>
        </w:rPr>
        <w:t xml:space="preserve"> (</w:t>
      </w:r>
      <w:proofErr w:type="spellStart"/>
      <w:r w:rsidR="00756B9B" w:rsidRPr="004012B5">
        <w:rPr>
          <w:b/>
          <w:i/>
          <w:color w:val="000000"/>
          <w:szCs w:val="24"/>
          <w:lang w:eastAsia="lv-LV"/>
        </w:rPr>
        <w:t>margin</w:t>
      </w:r>
      <w:proofErr w:type="spellEnd"/>
      <w:r w:rsidR="00756B9B" w:rsidRPr="004012B5">
        <w:rPr>
          <w:b/>
          <w:i/>
          <w:color w:val="000000"/>
          <w:szCs w:val="24"/>
          <w:lang w:eastAsia="lv-LV"/>
        </w:rPr>
        <w:t xml:space="preserve"> </w:t>
      </w:r>
      <w:proofErr w:type="spellStart"/>
      <w:r w:rsidR="00756B9B" w:rsidRPr="004012B5">
        <w:rPr>
          <w:b/>
          <w:i/>
          <w:color w:val="000000"/>
          <w:szCs w:val="24"/>
          <w:lang w:eastAsia="lv-LV"/>
        </w:rPr>
        <w:t>call</w:t>
      </w:r>
      <w:proofErr w:type="spellEnd"/>
      <w:r w:rsidR="00756B9B" w:rsidRPr="004012B5">
        <w:rPr>
          <w:b/>
          <w:color w:val="000000"/>
          <w:szCs w:val="24"/>
          <w:lang w:eastAsia="lv-LV"/>
        </w:rPr>
        <w:t xml:space="preserve">), klienta finanšu instrumentus pārņem iestāde un </w:t>
      </w:r>
      <w:r w:rsidR="00D73AE2">
        <w:rPr>
          <w:b/>
          <w:color w:val="000000"/>
          <w:szCs w:val="24"/>
          <w:lang w:eastAsia="lv-LV"/>
        </w:rPr>
        <w:t>pēc tam</w:t>
      </w:r>
      <w:r w:rsidR="00D73AE2" w:rsidRPr="004012B5">
        <w:rPr>
          <w:b/>
          <w:color w:val="000000"/>
          <w:szCs w:val="24"/>
          <w:lang w:eastAsia="lv-LV"/>
        </w:rPr>
        <w:t xml:space="preserve"> </w:t>
      </w:r>
      <w:r w:rsidR="00756B9B" w:rsidRPr="004012B5">
        <w:rPr>
          <w:b/>
          <w:color w:val="000000"/>
          <w:szCs w:val="24"/>
          <w:lang w:eastAsia="lv-LV"/>
        </w:rPr>
        <w:t>pārdo</w:t>
      </w:r>
      <w:r w:rsidR="00D73AE2">
        <w:rPr>
          <w:b/>
          <w:color w:val="000000"/>
          <w:szCs w:val="24"/>
          <w:lang w:eastAsia="lv-LV"/>
        </w:rPr>
        <w:t>d</w:t>
      </w:r>
      <w:r w:rsidR="00756B9B" w:rsidRPr="004012B5">
        <w:rPr>
          <w:b/>
          <w:color w:val="000000"/>
          <w:szCs w:val="24"/>
          <w:lang w:eastAsia="lv-LV"/>
        </w:rPr>
        <w:t xml:space="preserve"> tirgū – vai nepieciešams ziņot atsevišķi par darījumu starp iestādi un klientu un tad par darījumu starp iestādi un kontrahentu, vai tomēr uzskatīt, ka starp banku un klientu nav noticis darījums klasiskā izpratnē?</w:t>
      </w:r>
    </w:p>
    <w:p w:rsidR="00756B9B" w:rsidRPr="004012B5" w:rsidRDefault="00756B9B" w:rsidP="00756B9B">
      <w:pPr>
        <w:autoSpaceDE w:val="0"/>
        <w:autoSpaceDN w:val="0"/>
        <w:adjustRightInd w:val="0"/>
        <w:rPr>
          <w:b/>
          <w:color w:val="000000"/>
          <w:szCs w:val="24"/>
          <w:lang w:eastAsia="lv-LV"/>
        </w:rPr>
      </w:pPr>
    </w:p>
    <w:p w:rsidR="00756B9B" w:rsidRPr="004012B5" w:rsidRDefault="00756B9B" w:rsidP="00756B9B">
      <w:pPr>
        <w:autoSpaceDE w:val="0"/>
        <w:autoSpaceDN w:val="0"/>
        <w:adjustRightInd w:val="0"/>
        <w:rPr>
          <w:color w:val="000000"/>
          <w:szCs w:val="24"/>
          <w:lang w:eastAsia="lv-LV"/>
        </w:rPr>
      </w:pPr>
      <w:r w:rsidRPr="004012B5">
        <w:rPr>
          <w:b/>
          <w:color w:val="000000" w:themeColor="text1"/>
          <w:szCs w:val="24"/>
          <w:u w:val="single"/>
        </w:rPr>
        <w:t>Atbilde</w:t>
      </w:r>
      <w:r w:rsidRPr="004012B5">
        <w:rPr>
          <w:color w:val="000000" w:themeColor="text1"/>
          <w:szCs w:val="24"/>
          <w:u w:val="single"/>
        </w:rPr>
        <w:t>:</w:t>
      </w:r>
      <w:r w:rsidRPr="004012B5">
        <w:rPr>
          <w:color w:val="000000"/>
          <w:szCs w:val="24"/>
          <w:lang w:eastAsia="lv-LV"/>
        </w:rPr>
        <w:t xml:space="preserve"> </w:t>
      </w:r>
      <w:r w:rsidRPr="004012B5">
        <w:rPr>
          <w:color w:val="000000" w:themeColor="text1"/>
          <w:szCs w:val="24"/>
        </w:rPr>
        <w:t>FKTK skaidro, ka</w:t>
      </w:r>
      <w:r w:rsidR="00D73AE2">
        <w:rPr>
          <w:color w:val="000000" w:themeColor="text1"/>
          <w:szCs w:val="24"/>
        </w:rPr>
        <w:t xml:space="preserve"> tad</w:t>
      </w:r>
      <w:r w:rsidRPr="004012B5">
        <w:rPr>
          <w:color w:val="000000" w:themeColor="text1"/>
          <w:szCs w:val="24"/>
        </w:rPr>
        <w:t xml:space="preserve">, ja finanšu instrumentus pārņem iestāde un </w:t>
      </w:r>
      <w:r w:rsidR="00D73AE2">
        <w:rPr>
          <w:color w:val="000000" w:themeColor="text1"/>
          <w:szCs w:val="24"/>
        </w:rPr>
        <w:t>pēc tam</w:t>
      </w:r>
      <w:r w:rsidR="00D73AE2" w:rsidRPr="004012B5">
        <w:rPr>
          <w:color w:val="000000" w:themeColor="text1"/>
          <w:szCs w:val="24"/>
        </w:rPr>
        <w:t xml:space="preserve"> </w:t>
      </w:r>
      <w:r w:rsidRPr="004012B5">
        <w:rPr>
          <w:color w:val="000000" w:themeColor="text1"/>
          <w:szCs w:val="24"/>
        </w:rPr>
        <w:t>pārdod tos tirgū</w:t>
      </w:r>
      <w:r w:rsidR="00D73AE2">
        <w:rPr>
          <w:color w:val="000000" w:themeColor="text1"/>
          <w:szCs w:val="24"/>
        </w:rPr>
        <w:t>,</w:t>
      </w:r>
      <w:r w:rsidRPr="004012B5">
        <w:rPr>
          <w:color w:val="000000" w:themeColor="text1"/>
          <w:szCs w:val="24"/>
        </w:rPr>
        <w:t xml:space="preserve"> ir </w:t>
      </w:r>
      <w:r w:rsidR="00D73AE2">
        <w:rPr>
          <w:color w:val="000000" w:themeColor="text1"/>
          <w:szCs w:val="24"/>
        </w:rPr>
        <w:t>jā</w:t>
      </w:r>
      <w:r w:rsidRPr="004012B5">
        <w:rPr>
          <w:color w:val="000000" w:themeColor="text1"/>
          <w:szCs w:val="24"/>
        </w:rPr>
        <w:t>ziņo atsevišķi par darījumu starp iestādi un klientu un tad par darījumu starp iestādi un kontrahentu, jo finanšu instrumentu darījumu rezultātā mainās īpašnieki.</w:t>
      </w:r>
    </w:p>
    <w:p w:rsidR="00756B9B" w:rsidRPr="004012B5" w:rsidRDefault="00756B9B" w:rsidP="00756B9B">
      <w:pPr>
        <w:autoSpaceDE w:val="0"/>
        <w:autoSpaceDN w:val="0"/>
        <w:adjustRightInd w:val="0"/>
        <w:rPr>
          <w:color w:val="000000"/>
          <w:szCs w:val="24"/>
          <w:lang w:eastAsia="lv-LV"/>
        </w:rPr>
      </w:pPr>
    </w:p>
    <w:p w:rsidR="00756B9B" w:rsidRPr="004012B5" w:rsidRDefault="002C3191" w:rsidP="00756B9B">
      <w:pPr>
        <w:autoSpaceDE w:val="0"/>
        <w:autoSpaceDN w:val="0"/>
        <w:adjustRightInd w:val="0"/>
        <w:rPr>
          <w:b/>
          <w:color w:val="000000"/>
          <w:szCs w:val="24"/>
          <w:lang w:eastAsia="lv-LV"/>
        </w:rPr>
      </w:pPr>
      <w:r>
        <w:rPr>
          <w:b/>
          <w:color w:val="000000" w:themeColor="text1"/>
          <w:szCs w:val="24"/>
        </w:rPr>
        <w:t>6</w:t>
      </w:r>
      <w:r w:rsidR="00756B9B" w:rsidRPr="004012B5">
        <w:rPr>
          <w:b/>
          <w:color w:val="000000" w:themeColor="text1"/>
          <w:szCs w:val="24"/>
        </w:rPr>
        <w:t xml:space="preserve">. </w:t>
      </w:r>
      <w:r w:rsidR="007F2DE9">
        <w:rPr>
          <w:b/>
          <w:color w:val="000000" w:themeColor="text1"/>
          <w:szCs w:val="24"/>
          <w:u w:val="single"/>
        </w:rPr>
        <w:t>j</w:t>
      </w:r>
      <w:r w:rsidR="00756B9B" w:rsidRPr="004012B5">
        <w:rPr>
          <w:b/>
          <w:color w:val="000000" w:themeColor="text1"/>
          <w:szCs w:val="24"/>
          <w:u w:val="single"/>
        </w:rPr>
        <w:t>autājums:</w:t>
      </w:r>
      <w:r w:rsidR="00756B9B" w:rsidRPr="004012B5">
        <w:rPr>
          <w:b/>
          <w:color w:val="000000" w:themeColor="text1"/>
          <w:szCs w:val="24"/>
        </w:rPr>
        <w:t xml:space="preserve"> Vai </w:t>
      </w:r>
      <w:r w:rsidR="00D73AE2">
        <w:rPr>
          <w:b/>
          <w:color w:val="000000" w:themeColor="text1"/>
          <w:szCs w:val="24"/>
        </w:rPr>
        <w:t xml:space="preserve">pienākums </w:t>
      </w:r>
      <w:r w:rsidR="00756B9B" w:rsidRPr="004012B5">
        <w:rPr>
          <w:b/>
          <w:color w:val="000000" w:themeColor="text1"/>
          <w:szCs w:val="24"/>
        </w:rPr>
        <w:t>z</w:t>
      </w:r>
      <w:r w:rsidR="00756B9B" w:rsidRPr="004012B5">
        <w:rPr>
          <w:b/>
          <w:szCs w:val="24"/>
        </w:rPr>
        <w:t>iņo</w:t>
      </w:r>
      <w:r w:rsidR="00D73AE2">
        <w:rPr>
          <w:b/>
          <w:szCs w:val="24"/>
        </w:rPr>
        <w:t>t</w:t>
      </w:r>
      <w:r w:rsidR="00756B9B" w:rsidRPr="004012B5">
        <w:rPr>
          <w:b/>
          <w:szCs w:val="24"/>
        </w:rPr>
        <w:t xml:space="preserve"> par darījumiem </w:t>
      </w:r>
      <w:r w:rsidR="00756B9B" w:rsidRPr="004012B5">
        <w:rPr>
          <w:b/>
          <w:color w:val="000000"/>
          <w:szCs w:val="24"/>
          <w:lang w:eastAsia="lv-LV"/>
        </w:rPr>
        <w:t xml:space="preserve">ir attiecināms uz abām darījuma </w:t>
      </w:r>
      <w:r w:rsidR="00D73AE2">
        <w:rPr>
          <w:b/>
          <w:color w:val="000000"/>
          <w:szCs w:val="24"/>
          <w:lang w:eastAsia="lv-LV"/>
        </w:rPr>
        <w:t>pusēm</w:t>
      </w:r>
      <w:r w:rsidR="00D73AE2" w:rsidRPr="004012B5">
        <w:rPr>
          <w:b/>
          <w:color w:val="000000"/>
          <w:szCs w:val="24"/>
          <w:lang w:eastAsia="lv-LV"/>
        </w:rPr>
        <w:t xml:space="preserve"> </w:t>
      </w:r>
      <w:r w:rsidR="00756B9B" w:rsidRPr="004012B5">
        <w:rPr>
          <w:b/>
          <w:color w:val="000000"/>
          <w:szCs w:val="24"/>
          <w:lang w:eastAsia="lv-LV"/>
        </w:rPr>
        <w:t xml:space="preserve">(proti, ziņo gan pircējs, gan pārdevējs), bet </w:t>
      </w:r>
      <w:r w:rsidR="00756B9B" w:rsidRPr="004012B5">
        <w:rPr>
          <w:b/>
          <w:szCs w:val="24"/>
        </w:rPr>
        <w:t xml:space="preserve">pārredzamības </w:t>
      </w:r>
      <w:r w:rsidR="00756B9B" w:rsidRPr="004012B5">
        <w:rPr>
          <w:b/>
          <w:color w:val="000000"/>
          <w:szCs w:val="24"/>
          <w:lang w:eastAsia="lv-LV"/>
        </w:rPr>
        <w:t xml:space="preserve">pienākums </w:t>
      </w:r>
      <w:r w:rsidR="00D73AE2">
        <w:rPr>
          <w:b/>
          <w:color w:val="000000"/>
          <w:szCs w:val="24"/>
          <w:lang w:eastAsia="lv-LV"/>
        </w:rPr>
        <w:t>–</w:t>
      </w:r>
      <w:r w:rsidR="00D73AE2" w:rsidRPr="004012B5">
        <w:rPr>
          <w:b/>
          <w:color w:val="000000"/>
          <w:szCs w:val="24"/>
          <w:lang w:eastAsia="lv-LV"/>
        </w:rPr>
        <w:t xml:space="preserve"> </w:t>
      </w:r>
      <w:r w:rsidR="00756B9B" w:rsidRPr="004012B5">
        <w:rPr>
          <w:b/>
          <w:color w:val="000000"/>
          <w:szCs w:val="24"/>
          <w:lang w:eastAsia="lv-LV"/>
        </w:rPr>
        <w:t xml:space="preserve">tikai uz vienu darījuma </w:t>
      </w:r>
      <w:r w:rsidR="00D73AE2">
        <w:rPr>
          <w:b/>
          <w:color w:val="000000"/>
          <w:szCs w:val="24"/>
          <w:lang w:eastAsia="lv-LV"/>
        </w:rPr>
        <w:t>pusi</w:t>
      </w:r>
      <w:r w:rsidR="00D73AE2" w:rsidRPr="004012B5">
        <w:rPr>
          <w:b/>
          <w:color w:val="000000"/>
          <w:szCs w:val="24"/>
          <w:lang w:eastAsia="lv-LV"/>
        </w:rPr>
        <w:t xml:space="preserve"> </w:t>
      </w:r>
      <w:r w:rsidR="00756B9B" w:rsidRPr="004012B5">
        <w:rPr>
          <w:b/>
          <w:color w:val="000000"/>
          <w:szCs w:val="24"/>
          <w:lang w:eastAsia="lv-LV"/>
        </w:rPr>
        <w:t>(</w:t>
      </w:r>
      <w:r w:rsidR="00756B9B" w:rsidRPr="0063448E">
        <w:rPr>
          <w:b/>
          <w:color w:val="000000"/>
          <w:szCs w:val="24"/>
          <w:lang w:eastAsia="lv-LV"/>
        </w:rPr>
        <w:t xml:space="preserve">proti, </w:t>
      </w:r>
      <w:r w:rsidR="005A17BD" w:rsidRPr="009F05A4">
        <w:rPr>
          <w:b/>
          <w:color w:val="000000"/>
          <w:szCs w:val="24"/>
          <w:lang w:eastAsia="lv-LV"/>
        </w:rPr>
        <w:t xml:space="preserve">izmantojot </w:t>
      </w:r>
      <w:r w:rsidR="00756B9B" w:rsidRPr="0063448E">
        <w:rPr>
          <w:b/>
          <w:color w:val="000000"/>
          <w:szCs w:val="24"/>
          <w:lang w:eastAsia="lv-LV"/>
        </w:rPr>
        <w:t>apstiprinātu publicēšanas struktūru</w:t>
      </w:r>
      <w:r w:rsidR="005A17BD" w:rsidRPr="009F05A4">
        <w:rPr>
          <w:b/>
          <w:color w:val="000000"/>
          <w:szCs w:val="24"/>
          <w:lang w:eastAsia="lv-LV"/>
        </w:rPr>
        <w:t>,</w:t>
      </w:r>
      <w:r w:rsidR="00756B9B" w:rsidRPr="0063448E">
        <w:rPr>
          <w:b/>
          <w:color w:val="000000"/>
          <w:szCs w:val="24"/>
          <w:lang w:eastAsia="lv-LV"/>
        </w:rPr>
        <w:t xml:space="preserve"> ziņo tikai pārdevējs</w:t>
      </w:r>
      <w:r w:rsidR="00756B9B" w:rsidRPr="00DD07A3">
        <w:rPr>
          <w:b/>
          <w:color w:val="000000"/>
          <w:szCs w:val="24"/>
          <w:lang w:eastAsia="lv-LV"/>
        </w:rPr>
        <w:t xml:space="preserve"> vai firma, ja otrā puse ir klients</w:t>
      </w:r>
      <w:r w:rsidR="00756B9B" w:rsidRPr="004012B5">
        <w:rPr>
          <w:b/>
          <w:color w:val="000000"/>
          <w:szCs w:val="24"/>
          <w:lang w:eastAsia="lv-LV"/>
        </w:rPr>
        <w:t>)</w:t>
      </w:r>
      <w:r w:rsidR="00D73AE2">
        <w:rPr>
          <w:b/>
          <w:color w:val="000000"/>
          <w:szCs w:val="24"/>
          <w:lang w:eastAsia="lv-LV"/>
        </w:rPr>
        <w:t>?</w:t>
      </w:r>
    </w:p>
    <w:p w:rsidR="00756B9B" w:rsidRPr="004012B5" w:rsidRDefault="00756B9B" w:rsidP="00756B9B">
      <w:pPr>
        <w:autoSpaceDE w:val="0"/>
        <w:autoSpaceDN w:val="0"/>
        <w:adjustRightInd w:val="0"/>
        <w:rPr>
          <w:b/>
          <w:color w:val="000000"/>
          <w:szCs w:val="24"/>
          <w:lang w:eastAsia="lv-LV"/>
        </w:rPr>
      </w:pPr>
    </w:p>
    <w:p w:rsidR="00756B9B" w:rsidRPr="004012B5" w:rsidRDefault="00756B9B" w:rsidP="00756B9B">
      <w:pPr>
        <w:autoSpaceDE w:val="0"/>
        <w:autoSpaceDN w:val="0"/>
        <w:adjustRightInd w:val="0"/>
        <w:rPr>
          <w:color w:val="000000"/>
          <w:szCs w:val="24"/>
          <w:lang w:eastAsia="lv-LV"/>
        </w:rPr>
      </w:pPr>
      <w:r w:rsidRPr="004012B5">
        <w:rPr>
          <w:b/>
          <w:color w:val="000000" w:themeColor="text1"/>
          <w:szCs w:val="24"/>
          <w:u w:val="single"/>
        </w:rPr>
        <w:t>Atbilde</w:t>
      </w:r>
      <w:r w:rsidRPr="004012B5">
        <w:rPr>
          <w:color w:val="000000" w:themeColor="text1"/>
          <w:szCs w:val="24"/>
          <w:u w:val="single"/>
        </w:rPr>
        <w:t>:</w:t>
      </w:r>
      <w:r w:rsidRPr="004012B5">
        <w:rPr>
          <w:color w:val="000000"/>
          <w:szCs w:val="24"/>
          <w:lang w:eastAsia="lv-LV"/>
        </w:rPr>
        <w:t xml:space="preserve"> Z</w:t>
      </w:r>
      <w:r w:rsidRPr="004012B5">
        <w:rPr>
          <w:szCs w:val="24"/>
        </w:rPr>
        <w:t xml:space="preserve">iņošana par darījumiem </w:t>
      </w:r>
      <w:r w:rsidRPr="004012B5">
        <w:rPr>
          <w:color w:val="000000"/>
          <w:szCs w:val="24"/>
          <w:lang w:eastAsia="lv-LV"/>
        </w:rPr>
        <w:t>attiecas uz abām darījuma pusēm (ziņo abas ieguldījumu brokeru sabiedrības vai kredītiestādes, kas veikušas darījumu ar finanšu instrumentu). Ja viena no darījuma pusēm nav ieguldījumu brokeru sabiedrība vai kredītiestāde, tad ziņo tikai otra darījumu puse.</w:t>
      </w:r>
    </w:p>
    <w:p w:rsidR="00756B9B" w:rsidRPr="004012B5" w:rsidRDefault="00756B9B" w:rsidP="00756B9B">
      <w:pPr>
        <w:autoSpaceDE w:val="0"/>
        <w:autoSpaceDN w:val="0"/>
        <w:adjustRightInd w:val="0"/>
        <w:rPr>
          <w:color w:val="000000"/>
          <w:szCs w:val="24"/>
          <w:lang w:eastAsia="lv-LV"/>
        </w:rPr>
      </w:pPr>
    </w:p>
    <w:p w:rsidR="00756B9B" w:rsidRPr="004012B5" w:rsidRDefault="00756B9B" w:rsidP="00756B9B">
      <w:pPr>
        <w:autoSpaceDE w:val="0"/>
        <w:autoSpaceDN w:val="0"/>
        <w:adjustRightInd w:val="0"/>
        <w:rPr>
          <w:color w:val="000000"/>
          <w:szCs w:val="24"/>
          <w:lang w:eastAsia="lv-LV"/>
        </w:rPr>
      </w:pPr>
      <w:r w:rsidRPr="004012B5">
        <w:rPr>
          <w:color w:val="000000"/>
          <w:szCs w:val="24"/>
          <w:lang w:eastAsia="lv-LV"/>
        </w:rPr>
        <w:t>Pienākums nodrošināt pēctirdzniecības pārredzamību ir vienai darījum</w:t>
      </w:r>
      <w:r w:rsidR="005A17BD">
        <w:rPr>
          <w:color w:val="000000"/>
          <w:szCs w:val="24"/>
          <w:lang w:eastAsia="lv-LV"/>
        </w:rPr>
        <w:t>a</w:t>
      </w:r>
      <w:r w:rsidRPr="004012B5">
        <w:rPr>
          <w:color w:val="000000"/>
          <w:szCs w:val="24"/>
          <w:lang w:eastAsia="lv-LV"/>
        </w:rPr>
        <w:t xml:space="preserve"> pusei. Ja darījums veikts tirdzniecības vietā, to nodrošina tirdzniecības vieta. Ja darījums veikts ārpus tirdzniecības vietas starp divām ieguldījumu brokeru sabiedrībām vai kredītiestādēm, pārredzamību, izmantojot APS, nodrošina pārdevējs, izņemot gadījumus, k</w:t>
      </w:r>
      <w:r w:rsidR="005A17BD">
        <w:rPr>
          <w:color w:val="000000"/>
          <w:szCs w:val="24"/>
          <w:lang w:eastAsia="lv-LV"/>
        </w:rPr>
        <w:t>ad</w:t>
      </w:r>
      <w:r w:rsidRPr="004012B5">
        <w:rPr>
          <w:color w:val="000000"/>
          <w:szCs w:val="24"/>
          <w:lang w:eastAsia="lv-LV"/>
        </w:rPr>
        <w:t xml:space="preserve"> pircējs ir sistemātisk</w:t>
      </w:r>
      <w:r w:rsidR="00D2078E">
        <w:rPr>
          <w:color w:val="000000"/>
          <w:szCs w:val="24"/>
          <w:lang w:eastAsia="lv-LV"/>
        </w:rPr>
        <w:t>ai</w:t>
      </w:r>
      <w:r w:rsidRPr="004012B5">
        <w:rPr>
          <w:color w:val="000000"/>
          <w:szCs w:val="24"/>
          <w:lang w:eastAsia="lv-LV"/>
        </w:rPr>
        <w:t xml:space="preserve">s </w:t>
      </w:r>
      <w:proofErr w:type="spellStart"/>
      <w:r w:rsidRPr="004012B5">
        <w:rPr>
          <w:color w:val="000000"/>
          <w:szCs w:val="24"/>
          <w:lang w:eastAsia="lv-LV"/>
        </w:rPr>
        <w:t>internalizētājs</w:t>
      </w:r>
      <w:proofErr w:type="spellEnd"/>
      <w:r w:rsidRPr="004012B5">
        <w:rPr>
          <w:color w:val="000000"/>
          <w:szCs w:val="24"/>
          <w:lang w:eastAsia="lv-LV"/>
        </w:rPr>
        <w:t xml:space="preserve">, kuram jāziņo APS. Ja otra </w:t>
      </w:r>
      <w:r w:rsidR="005A17BD" w:rsidRPr="004012B5">
        <w:rPr>
          <w:color w:val="000000"/>
          <w:szCs w:val="24"/>
          <w:lang w:eastAsia="lv-LV"/>
        </w:rPr>
        <w:t>darījum</w:t>
      </w:r>
      <w:r w:rsidR="005A17BD">
        <w:rPr>
          <w:color w:val="000000"/>
          <w:szCs w:val="24"/>
          <w:lang w:eastAsia="lv-LV"/>
        </w:rPr>
        <w:t>a</w:t>
      </w:r>
      <w:r w:rsidR="005A17BD" w:rsidRPr="004012B5">
        <w:rPr>
          <w:color w:val="000000"/>
          <w:szCs w:val="24"/>
          <w:lang w:eastAsia="lv-LV"/>
        </w:rPr>
        <w:t xml:space="preserve"> </w:t>
      </w:r>
      <w:r w:rsidRPr="004012B5">
        <w:rPr>
          <w:color w:val="000000"/>
          <w:szCs w:val="24"/>
          <w:lang w:eastAsia="lv-LV"/>
        </w:rPr>
        <w:t>puse ir klients, tad pienākums ziņot APS ir ieguldījumu brokeru sabiedrībai vai kredītiestādei.</w:t>
      </w:r>
    </w:p>
    <w:p w:rsidR="00756B9B" w:rsidRPr="004012B5" w:rsidRDefault="00756B9B" w:rsidP="00756B9B">
      <w:pPr>
        <w:autoSpaceDE w:val="0"/>
        <w:autoSpaceDN w:val="0"/>
        <w:adjustRightInd w:val="0"/>
        <w:rPr>
          <w:color w:val="000000"/>
          <w:szCs w:val="24"/>
          <w:lang w:eastAsia="lv-LV"/>
        </w:rPr>
      </w:pPr>
    </w:p>
    <w:p w:rsidR="00756B9B" w:rsidRPr="004012B5" w:rsidRDefault="00756B9B" w:rsidP="00756B9B">
      <w:pPr>
        <w:autoSpaceDE w:val="0"/>
        <w:autoSpaceDN w:val="0"/>
        <w:adjustRightInd w:val="0"/>
        <w:rPr>
          <w:color w:val="000000"/>
          <w:szCs w:val="24"/>
          <w:lang w:eastAsia="lv-LV"/>
        </w:rPr>
      </w:pPr>
      <w:r w:rsidRPr="004012B5">
        <w:rPr>
          <w:color w:val="000000"/>
          <w:szCs w:val="24"/>
          <w:lang w:eastAsia="lv-LV"/>
        </w:rPr>
        <w:t xml:space="preserve">Par pārredzamības nodrošināšanu ārpusbiržas darījumos FKTK iesaka iepazīties ar EVTI mājaslapā pieejamo dokumentu </w:t>
      </w:r>
      <w:proofErr w:type="spellStart"/>
      <w:r w:rsidRPr="004012B5">
        <w:rPr>
          <w:i/>
          <w:color w:val="000000"/>
          <w:szCs w:val="24"/>
          <w:lang w:eastAsia="lv-LV"/>
        </w:rPr>
        <w:t>Questions</w:t>
      </w:r>
      <w:proofErr w:type="spellEnd"/>
      <w:r w:rsidRPr="004012B5">
        <w:rPr>
          <w:i/>
          <w:color w:val="000000"/>
          <w:szCs w:val="24"/>
          <w:lang w:eastAsia="lv-LV"/>
        </w:rPr>
        <w:t xml:space="preserve"> </w:t>
      </w:r>
      <w:proofErr w:type="spellStart"/>
      <w:r w:rsidRPr="004012B5">
        <w:rPr>
          <w:i/>
          <w:color w:val="000000"/>
          <w:szCs w:val="24"/>
          <w:lang w:eastAsia="lv-LV"/>
        </w:rPr>
        <w:t>and</w:t>
      </w:r>
      <w:proofErr w:type="spellEnd"/>
      <w:r w:rsidRPr="004012B5">
        <w:rPr>
          <w:i/>
          <w:color w:val="000000"/>
          <w:szCs w:val="24"/>
          <w:lang w:eastAsia="lv-LV"/>
        </w:rPr>
        <w:t xml:space="preserve"> </w:t>
      </w:r>
      <w:proofErr w:type="spellStart"/>
      <w:r w:rsidRPr="004012B5">
        <w:rPr>
          <w:i/>
          <w:color w:val="000000"/>
          <w:szCs w:val="24"/>
          <w:lang w:eastAsia="lv-LV"/>
        </w:rPr>
        <w:t>Answers</w:t>
      </w:r>
      <w:proofErr w:type="spellEnd"/>
      <w:r w:rsidRPr="004012B5">
        <w:rPr>
          <w:i/>
          <w:color w:val="000000"/>
          <w:szCs w:val="24"/>
          <w:lang w:eastAsia="lv-LV"/>
        </w:rPr>
        <w:t xml:space="preserve"> </w:t>
      </w:r>
      <w:proofErr w:type="spellStart"/>
      <w:r w:rsidRPr="004012B5">
        <w:rPr>
          <w:i/>
          <w:color w:val="000000"/>
          <w:szCs w:val="24"/>
          <w:lang w:eastAsia="lv-LV"/>
        </w:rPr>
        <w:t>on</w:t>
      </w:r>
      <w:proofErr w:type="spellEnd"/>
      <w:r w:rsidRPr="004012B5">
        <w:rPr>
          <w:i/>
          <w:color w:val="000000"/>
          <w:szCs w:val="24"/>
          <w:lang w:eastAsia="lv-LV"/>
        </w:rPr>
        <w:t xml:space="preserve"> </w:t>
      </w:r>
      <w:r w:rsidR="005656E6">
        <w:rPr>
          <w:i/>
          <w:color w:val="000000"/>
          <w:szCs w:val="24"/>
          <w:lang w:eastAsia="lv-LV"/>
        </w:rPr>
        <w:t>MIFID</w:t>
      </w:r>
      <w:r w:rsidRPr="004012B5">
        <w:rPr>
          <w:i/>
          <w:color w:val="000000"/>
          <w:szCs w:val="24"/>
          <w:lang w:eastAsia="lv-LV"/>
        </w:rPr>
        <w:t xml:space="preserve"> II </w:t>
      </w:r>
      <w:proofErr w:type="spellStart"/>
      <w:r w:rsidRPr="004012B5">
        <w:rPr>
          <w:i/>
          <w:color w:val="000000"/>
          <w:szCs w:val="24"/>
          <w:lang w:eastAsia="lv-LV"/>
        </w:rPr>
        <w:t>and</w:t>
      </w:r>
      <w:proofErr w:type="spellEnd"/>
      <w:r w:rsidRPr="004012B5">
        <w:rPr>
          <w:i/>
          <w:color w:val="000000"/>
          <w:szCs w:val="24"/>
          <w:lang w:eastAsia="lv-LV"/>
        </w:rPr>
        <w:t xml:space="preserve"> </w:t>
      </w:r>
      <w:proofErr w:type="spellStart"/>
      <w:r w:rsidRPr="004012B5">
        <w:rPr>
          <w:i/>
          <w:color w:val="000000"/>
          <w:szCs w:val="24"/>
          <w:lang w:eastAsia="lv-LV"/>
        </w:rPr>
        <w:t>MiFIR</w:t>
      </w:r>
      <w:proofErr w:type="spellEnd"/>
      <w:r w:rsidRPr="004012B5">
        <w:rPr>
          <w:i/>
          <w:color w:val="000000"/>
          <w:szCs w:val="24"/>
          <w:lang w:eastAsia="lv-LV"/>
        </w:rPr>
        <w:t xml:space="preserve"> </w:t>
      </w:r>
      <w:proofErr w:type="spellStart"/>
      <w:r w:rsidRPr="004012B5">
        <w:rPr>
          <w:i/>
          <w:color w:val="000000"/>
          <w:szCs w:val="24"/>
          <w:lang w:eastAsia="lv-LV"/>
        </w:rPr>
        <w:t>transparency</w:t>
      </w:r>
      <w:proofErr w:type="spellEnd"/>
      <w:r w:rsidRPr="004012B5">
        <w:rPr>
          <w:i/>
          <w:color w:val="000000"/>
          <w:szCs w:val="24"/>
          <w:lang w:eastAsia="lv-LV"/>
        </w:rPr>
        <w:t xml:space="preserve"> </w:t>
      </w:r>
      <w:proofErr w:type="spellStart"/>
      <w:r w:rsidRPr="004012B5">
        <w:rPr>
          <w:i/>
          <w:color w:val="000000"/>
          <w:szCs w:val="24"/>
          <w:lang w:eastAsia="lv-LV"/>
        </w:rPr>
        <w:t>topics</w:t>
      </w:r>
      <w:proofErr w:type="spellEnd"/>
      <w:r w:rsidRPr="004012B5">
        <w:rPr>
          <w:color w:val="000000"/>
          <w:szCs w:val="24"/>
          <w:lang w:eastAsia="lv-LV"/>
        </w:rPr>
        <w:t>:</w:t>
      </w:r>
    </w:p>
    <w:p w:rsidR="00756B9B" w:rsidRPr="004012B5" w:rsidRDefault="00946501" w:rsidP="00756B9B">
      <w:pPr>
        <w:autoSpaceDE w:val="0"/>
        <w:autoSpaceDN w:val="0"/>
        <w:adjustRightInd w:val="0"/>
        <w:rPr>
          <w:color w:val="000000"/>
          <w:szCs w:val="24"/>
          <w:lang w:eastAsia="lv-LV"/>
        </w:rPr>
      </w:pPr>
      <w:hyperlink r:id="rId10" w:history="1">
        <w:r w:rsidR="00FC249A" w:rsidRPr="004012B5">
          <w:rPr>
            <w:rStyle w:val="Hyperlink"/>
            <w:szCs w:val="24"/>
            <w:lang w:eastAsia="lv-LV"/>
          </w:rPr>
          <w:t>https://www.esma.europa.eu/sites/default/files/library/esma70-872942901-35_qas_transparency_issues.pdf</w:t>
        </w:r>
      </w:hyperlink>
      <w:r w:rsidR="00756B9B" w:rsidRPr="004012B5">
        <w:rPr>
          <w:color w:val="000000"/>
          <w:szCs w:val="24"/>
          <w:lang w:eastAsia="lv-LV"/>
        </w:rPr>
        <w:t>.</w:t>
      </w:r>
    </w:p>
    <w:p w:rsidR="00756B9B" w:rsidRPr="004012B5" w:rsidRDefault="00756B9B" w:rsidP="00756B9B">
      <w:pPr>
        <w:autoSpaceDE w:val="0"/>
        <w:autoSpaceDN w:val="0"/>
        <w:adjustRightInd w:val="0"/>
        <w:rPr>
          <w:b/>
          <w:color w:val="000000" w:themeColor="text1"/>
          <w:szCs w:val="24"/>
        </w:rPr>
      </w:pPr>
    </w:p>
    <w:p w:rsidR="00756B9B" w:rsidRPr="004012B5" w:rsidRDefault="002C3191" w:rsidP="00756B9B">
      <w:pPr>
        <w:rPr>
          <w:b/>
          <w:szCs w:val="24"/>
        </w:rPr>
      </w:pPr>
      <w:r>
        <w:rPr>
          <w:b/>
          <w:szCs w:val="24"/>
        </w:rPr>
        <w:t>7</w:t>
      </w:r>
      <w:r w:rsidR="00756B9B" w:rsidRPr="004012B5">
        <w:rPr>
          <w:b/>
          <w:szCs w:val="24"/>
        </w:rPr>
        <w:t xml:space="preserve">. </w:t>
      </w:r>
      <w:r w:rsidR="00756B9B" w:rsidRPr="004012B5">
        <w:rPr>
          <w:b/>
          <w:szCs w:val="24"/>
          <w:u w:val="single"/>
        </w:rPr>
        <w:t>jautājums:</w:t>
      </w:r>
      <w:r w:rsidR="00756B9B" w:rsidRPr="004012B5">
        <w:rPr>
          <w:szCs w:val="24"/>
        </w:rPr>
        <w:t xml:space="preserve"> </w:t>
      </w:r>
      <w:proofErr w:type="spellStart"/>
      <w:r w:rsidR="00447AA0" w:rsidRPr="004012B5">
        <w:rPr>
          <w:b/>
          <w:szCs w:val="24"/>
        </w:rPr>
        <w:t>MiFIR</w:t>
      </w:r>
      <w:proofErr w:type="spellEnd"/>
      <w:r w:rsidR="00447AA0" w:rsidRPr="004012B5">
        <w:rPr>
          <w:b/>
          <w:szCs w:val="24"/>
        </w:rPr>
        <w:t xml:space="preserve"> regulas </w:t>
      </w:r>
      <w:r w:rsidR="00756B9B" w:rsidRPr="004012B5">
        <w:rPr>
          <w:b/>
          <w:szCs w:val="24"/>
        </w:rPr>
        <w:t>26. panta otrajā daļā ir norādīts, ka ziņojumi ir sniedzami par "finanšu instrumentiem, kurus atļauts tirgot vai kurus tirgo tirdzniecības vietā". Lūgums norādīt, vai tās ir tikai tirdzniecības vietas, kuras ir</w:t>
      </w:r>
      <w:proofErr w:type="gramStart"/>
      <w:r w:rsidR="00756B9B" w:rsidRPr="004012B5">
        <w:rPr>
          <w:b/>
          <w:szCs w:val="24"/>
        </w:rPr>
        <w:t xml:space="preserve"> reģistrētas Eiropas Savienībā</w:t>
      </w:r>
      <w:proofErr w:type="gramEnd"/>
      <w:r w:rsidR="00756B9B" w:rsidRPr="004012B5">
        <w:rPr>
          <w:b/>
          <w:szCs w:val="24"/>
        </w:rPr>
        <w:t>, vai arī tirdzniecības vietas trešajās valstīs (piemēram, ASV un Krievij</w:t>
      </w:r>
      <w:r w:rsidR="005A17BD">
        <w:rPr>
          <w:b/>
          <w:szCs w:val="24"/>
        </w:rPr>
        <w:t>ā</w:t>
      </w:r>
      <w:r w:rsidR="00756B9B" w:rsidRPr="004012B5">
        <w:rPr>
          <w:b/>
          <w:szCs w:val="24"/>
        </w:rPr>
        <w:t>).</w:t>
      </w:r>
    </w:p>
    <w:p w:rsidR="00756B9B" w:rsidRPr="004012B5" w:rsidRDefault="00756B9B" w:rsidP="00756B9B">
      <w:pPr>
        <w:rPr>
          <w:szCs w:val="24"/>
        </w:rPr>
      </w:pPr>
    </w:p>
    <w:p w:rsidR="00756B9B" w:rsidRPr="004012B5" w:rsidRDefault="00756B9B" w:rsidP="00756B9B">
      <w:pPr>
        <w:rPr>
          <w:szCs w:val="24"/>
        </w:rPr>
      </w:pPr>
      <w:r w:rsidRPr="004012B5">
        <w:rPr>
          <w:b/>
          <w:szCs w:val="24"/>
          <w:u w:val="single"/>
        </w:rPr>
        <w:t>Atbilde</w:t>
      </w:r>
      <w:r w:rsidRPr="004012B5">
        <w:rPr>
          <w:b/>
          <w:szCs w:val="24"/>
        </w:rPr>
        <w:t xml:space="preserve">: </w:t>
      </w:r>
      <w:proofErr w:type="spellStart"/>
      <w:r w:rsidR="00447AA0" w:rsidRPr="004012B5">
        <w:rPr>
          <w:szCs w:val="24"/>
        </w:rPr>
        <w:t>MiFIR</w:t>
      </w:r>
      <w:proofErr w:type="spellEnd"/>
      <w:r w:rsidR="00447AA0" w:rsidRPr="004012B5">
        <w:rPr>
          <w:szCs w:val="24"/>
        </w:rPr>
        <w:t xml:space="preserve"> regulas </w:t>
      </w:r>
      <w:r w:rsidRPr="004012B5">
        <w:rPr>
          <w:szCs w:val="24"/>
        </w:rPr>
        <w:t>26. pantā noteikts pienākums ziņot kompetentajām iestādēm par darījumiem ar:</w:t>
      </w:r>
    </w:p>
    <w:p w:rsidR="00756B9B" w:rsidRPr="004012B5" w:rsidRDefault="00756B9B" w:rsidP="00756B9B">
      <w:pPr>
        <w:tabs>
          <w:tab w:val="left" w:pos="450"/>
        </w:tabs>
        <w:rPr>
          <w:szCs w:val="24"/>
        </w:rPr>
      </w:pPr>
      <w:r w:rsidRPr="004012B5">
        <w:rPr>
          <w:szCs w:val="24"/>
        </w:rPr>
        <w:t>•</w:t>
      </w:r>
      <w:r w:rsidRPr="004012B5">
        <w:rPr>
          <w:szCs w:val="24"/>
        </w:rPr>
        <w:tab/>
        <w:t>finanšu instrumentiem, kurus atļauts tirgot vai kurus tirgo tirdzniecības vietā vai par kuriem iesniegts pieprasījums tirdzniecības atļaušanai;</w:t>
      </w:r>
    </w:p>
    <w:p w:rsidR="00756B9B" w:rsidRPr="004012B5" w:rsidRDefault="00756B9B" w:rsidP="00756B9B">
      <w:pPr>
        <w:tabs>
          <w:tab w:val="left" w:pos="450"/>
        </w:tabs>
        <w:rPr>
          <w:szCs w:val="24"/>
        </w:rPr>
      </w:pPr>
      <w:r w:rsidRPr="004012B5">
        <w:rPr>
          <w:szCs w:val="24"/>
        </w:rPr>
        <w:t>•</w:t>
      </w:r>
      <w:r w:rsidRPr="004012B5">
        <w:rPr>
          <w:szCs w:val="24"/>
        </w:rPr>
        <w:tab/>
        <w:t>finanšu instrumentiem, kur pamatā ir finanšu instruments, kuru tirgo tirdzniecības vietā;</w:t>
      </w:r>
    </w:p>
    <w:p w:rsidR="00756B9B" w:rsidRPr="004012B5" w:rsidRDefault="00756B9B" w:rsidP="00756B9B">
      <w:pPr>
        <w:tabs>
          <w:tab w:val="left" w:pos="450"/>
        </w:tabs>
        <w:rPr>
          <w:szCs w:val="24"/>
        </w:rPr>
      </w:pPr>
      <w:r w:rsidRPr="004012B5">
        <w:rPr>
          <w:szCs w:val="24"/>
        </w:rPr>
        <w:t>•</w:t>
      </w:r>
      <w:r w:rsidRPr="004012B5">
        <w:rPr>
          <w:szCs w:val="24"/>
        </w:rPr>
        <w:tab/>
        <w:t>finanšu instrumentiem, kur pamatā ir indekss vai grozs, kuru veido finanšu instrumenti, kurus tirgo tirdzniecības vietā.</w:t>
      </w:r>
    </w:p>
    <w:p w:rsidR="00756B9B" w:rsidRPr="004012B5" w:rsidRDefault="00756B9B" w:rsidP="00756B9B">
      <w:pPr>
        <w:rPr>
          <w:szCs w:val="24"/>
        </w:rPr>
      </w:pPr>
    </w:p>
    <w:p w:rsidR="00756B9B" w:rsidRPr="004012B5" w:rsidRDefault="00756B9B" w:rsidP="00756B9B">
      <w:pPr>
        <w:rPr>
          <w:szCs w:val="24"/>
        </w:rPr>
      </w:pPr>
      <w:r w:rsidRPr="004012B5">
        <w:rPr>
          <w:szCs w:val="24"/>
        </w:rPr>
        <w:t>Ar tirdzniecības vietām tiek saprastas Eiropas Ekonomikas zonas (turpmāk – EEZ) dalībvalstu (tostarp Eiropas Savienības dalībvalstu, Islandes, Lihtenšteinas un Norvēģijas) tirdzniecības vietas. Finanšu instrumentu, kurus tirgo EEZ tirdzniecības vietās, saraksts pieejams EVTI mājaslapā (šobrīd testa režīmā):</w:t>
      </w:r>
    </w:p>
    <w:p w:rsidR="00756B9B" w:rsidRPr="004012B5" w:rsidRDefault="00946501" w:rsidP="00756B9B">
      <w:pPr>
        <w:rPr>
          <w:szCs w:val="24"/>
        </w:rPr>
      </w:pPr>
      <w:hyperlink r:id="rId11" w:history="1">
        <w:r w:rsidR="00FC249A" w:rsidRPr="004012B5">
          <w:rPr>
            <w:rStyle w:val="Hyperlink"/>
            <w:szCs w:val="24"/>
          </w:rPr>
          <w:t>https://registers.esma.europa.eu/publication/searchRegister?core=esma_registers_firds</w:t>
        </w:r>
      </w:hyperlink>
      <w:r w:rsidR="00FC249A" w:rsidRPr="004012B5">
        <w:rPr>
          <w:szCs w:val="24"/>
        </w:rPr>
        <w:t xml:space="preserve"> </w:t>
      </w:r>
    </w:p>
    <w:p w:rsidR="00756B9B" w:rsidRPr="004012B5" w:rsidRDefault="00756B9B" w:rsidP="00756B9B">
      <w:pPr>
        <w:rPr>
          <w:szCs w:val="24"/>
        </w:rPr>
      </w:pPr>
    </w:p>
    <w:p w:rsidR="00756B9B" w:rsidRPr="004012B5" w:rsidRDefault="00756B9B" w:rsidP="00756B9B">
      <w:pPr>
        <w:rPr>
          <w:szCs w:val="24"/>
        </w:rPr>
      </w:pPr>
      <w:r w:rsidRPr="004012B5">
        <w:rPr>
          <w:szCs w:val="24"/>
        </w:rPr>
        <w:t xml:space="preserve">FKTK norāda, ka ieguldījumu brokeru sabiedrībai vai kredītiestādei, veicot darījumus ar EEZ tirdzniecības vietā tirgotiem finanšu instrumentiem vai ar instrumentiem, kuru pamatā ir kāds no EEZ tirdzniecības vietā tirgotiem finanšu instrumentiem vai kuru pamatā ir indekss vai grozs, kuru veido EEZ tirdzniecības vietā tirgoti finanšu instrumenti, </w:t>
      </w:r>
      <w:r w:rsidRPr="004012B5">
        <w:rPr>
          <w:szCs w:val="24"/>
          <w:u w:val="single"/>
        </w:rPr>
        <w:t>būs pienākums ziņot kompetentajai iestādei (Latvijā – FKTK)</w:t>
      </w:r>
      <w:r w:rsidRPr="004012B5">
        <w:rPr>
          <w:szCs w:val="24"/>
        </w:rPr>
        <w:t xml:space="preserve"> </w:t>
      </w:r>
      <w:r w:rsidRPr="004012B5">
        <w:rPr>
          <w:szCs w:val="24"/>
          <w:u w:val="single"/>
        </w:rPr>
        <w:t xml:space="preserve">par visiem darījumiem ar šādiem instrumentiem neatkarīgi no tā, vai darījums veikts EEZ tirdzniecības vietā, trešās valsts tirdzniecības vietā vai </w:t>
      </w:r>
      <w:proofErr w:type="spellStart"/>
      <w:r w:rsidRPr="004012B5">
        <w:rPr>
          <w:szCs w:val="24"/>
          <w:u w:val="single"/>
        </w:rPr>
        <w:t>ārpusbiržā</w:t>
      </w:r>
      <w:proofErr w:type="spellEnd"/>
      <w:r w:rsidRPr="004012B5">
        <w:rPr>
          <w:szCs w:val="24"/>
          <w:u w:val="single"/>
        </w:rPr>
        <w:t>.</w:t>
      </w:r>
    </w:p>
    <w:p w:rsidR="00756B9B" w:rsidRPr="004012B5" w:rsidRDefault="00756B9B" w:rsidP="00756B9B">
      <w:pPr>
        <w:rPr>
          <w:szCs w:val="24"/>
        </w:rPr>
      </w:pPr>
    </w:p>
    <w:p w:rsidR="00756B9B" w:rsidRPr="004012B5" w:rsidRDefault="00756B9B" w:rsidP="00756B9B">
      <w:pPr>
        <w:rPr>
          <w:szCs w:val="24"/>
        </w:rPr>
      </w:pPr>
      <w:r w:rsidRPr="004012B5">
        <w:rPr>
          <w:szCs w:val="24"/>
        </w:rPr>
        <w:t xml:space="preserve">Piemēram, ja ieguldījumu brokeru sabiedrība vai kredītiestāde veiks darījumus ar </w:t>
      </w:r>
      <w:proofErr w:type="spellStart"/>
      <w:r w:rsidRPr="004012B5">
        <w:rPr>
          <w:i/>
          <w:szCs w:val="24"/>
        </w:rPr>
        <w:t>Apple</w:t>
      </w:r>
      <w:proofErr w:type="spellEnd"/>
      <w:r w:rsidRPr="004012B5">
        <w:rPr>
          <w:szCs w:val="24"/>
        </w:rPr>
        <w:t xml:space="preserve"> (ISIN US0378331005) akcijām, kuras tiek tirgotas </w:t>
      </w:r>
      <w:r w:rsidRPr="004012B5">
        <w:rPr>
          <w:i/>
          <w:szCs w:val="24"/>
        </w:rPr>
        <w:t>Nasdaq</w:t>
      </w:r>
      <w:r w:rsidRPr="004012B5">
        <w:rPr>
          <w:szCs w:val="24"/>
        </w:rPr>
        <w:t xml:space="preserve"> biržā ASV, un šis darījums tiks izpildīts ārpus EEZ, tad par šo darījumu būs jāziņo, ja </w:t>
      </w:r>
      <w:proofErr w:type="spellStart"/>
      <w:r w:rsidRPr="004012B5">
        <w:rPr>
          <w:i/>
          <w:szCs w:val="24"/>
        </w:rPr>
        <w:t>Apple</w:t>
      </w:r>
      <w:proofErr w:type="spellEnd"/>
      <w:r w:rsidRPr="004012B5">
        <w:rPr>
          <w:szCs w:val="24"/>
        </w:rPr>
        <w:t xml:space="preserve"> akcijas tiks tirgotas kādā no EEZ tirdzniecības vietām un uzņēmuma ISIN būs iepriekš minētajā EVTI mājaslapā publicētajā finanšu instrumentu sarakstā.</w:t>
      </w:r>
    </w:p>
    <w:p w:rsidR="00756B9B" w:rsidRPr="004012B5" w:rsidRDefault="00756B9B" w:rsidP="00756B9B">
      <w:pPr>
        <w:rPr>
          <w:szCs w:val="24"/>
        </w:rPr>
      </w:pPr>
    </w:p>
    <w:p w:rsidR="00756B9B" w:rsidRPr="004012B5" w:rsidRDefault="002C3191" w:rsidP="00756B9B">
      <w:pPr>
        <w:rPr>
          <w:b/>
          <w:szCs w:val="24"/>
        </w:rPr>
      </w:pPr>
      <w:r>
        <w:rPr>
          <w:b/>
          <w:szCs w:val="24"/>
        </w:rPr>
        <w:t>8</w:t>
      </w:r>
      <w:r w:rsidR="00756B9B" w:rsidRPr="004012B5">
        <w:rPr>
          <w:b/>
          <w:szCs w:val="24"/>
        </w:rPr>
        <w:t xml:space="preserve">. </w:t>
      </w:r>
      <w:r w:rsidR="00756B9B" w:rsidRPr="004012B5">
        <w:rPr>
          <w:b/>
          <w:szCs w:val="24"/>
          <w:u w:val="single"/>
        </w:rPr>
        <w:t>jautājums:</w:t>
      </w:r>
      <w:r w:rsidR="00756B9B" w:rsidRPr="004012B5">
        <w:rPr>
          <w:b/>
          <w:szCs w:val="24"/>
        </w:rPr>
        <w:t xml:space="preserve"> Bankas A klients – ieguldījumu fonds vai valsts fondēto pensiju shēmas ieguldījumu plāns, vai pensiju 3. līmeņa plāns B, kuru pārvalda pārvaldes sabiedrība C. Fonds, izmantojot Bankas A pakalpojumus, iegādājies finanšu instrumentus. Vai ir pareizi uzskatīt, ka šajā gadījumā Bankai A, paziņojot par darījumu, jānorāda pircējs – pārvaldes sabiedrība C, nevis ieguldījumu fonds vai pensiju plāns B?</w:t>
      </w:r>
    </w:p>
    <w:p w:rsidR="00756B9B" w:rsidRPr="004012B5" w:rsidRDefault="00756B9B" w:rsidP="00756B9B">
      <w:pPr>
        <w:rPr>
          <w:szCs w:val="24"/>
        </w:rPr>
      </w:pPr>
    </w:p>
    <w:p w:rsidR="00756B9B" w:rsidRPr="004012B5" w:rsidRDefault="00756B9B" w:rsidP="00756B9B">
      <w:pPr>
        <w:rPr>
          <w:szCs w:val="24"/>
        </w:rPr>
      </w:pPr>
      <w:r w:rsidRPr="004012B5">
        <w:rPr>
          <w:b/>
          <w:szCs w:val="24"/>
          <w:u w:val="single"/>
        </w:rPr>
        <w:t>Atbilde</w:t>
      </w:r>
      <w:r w:rsidRPr="004012B5">
        <w:rPr>
          <w:b/>
          <w:szCs w:val="24"/>
        </w:rPr>
        <w:t xml:space="preserve">: </w:t>
      </w:r>
      <w:r w:rsidRPr="004012B5">
        <w:rPr>
          <w:szCs w:val="24"/>
        </w:rPr>
        <w:t>Šajā gadījumā ieguldījumu brokeru sabiedrība vai kredītiestāde A ziņo par ieguldījumu pārvaldes sabiedrību C kā par pircēju.</w:t>
      </w:r>
    </w:p>
    <w:p w:rsidR="00756B9B" w:rsidRPr="004012B5" w:rsidRDefault="00756B9B" w:rsidP="00756B9B">
      <w:pPr>
        <w:rPr>
          <w:szCs w:val="24"/>
        </w:rPr>
      </w:pPr>
    </w:p>
    <w:p w:rsidR="00756B9B" w:rsidRPr="004012B5" w:rsidRDefault="00756B9B" w:rsidP="00756B9B">
      <w:pPr>
        <w:rPr>
          <w:szCs w:val="24"/>
        </w:rPr>
      </w:pPr>
      <w:r w:rsidRPr="004012B5">
        <w:rPr>
          <w:szCs w:val="24"/>
        </w:rPr>
        <w:t>Turklāt FKTK vērš uzmanību, ka uz ieguldījumu pārvaldes sabiedrību, kura pārvalda ieguldījumu fondu vai pensiju plānu, neattiecas pienākums ziņot par darījumiem ar finanšu instrumentiem</w:t>
      </w:r>
      <w:r w:rsidR="00C65357">
        <w:rPr>
          <w:szCs w:val="24"/>
        </w:rPr>
        <w:t xml:space="preserve"> (sk. 1. jautājumu)</w:t>
      </w:r>
      <w:r w:rsidRPr="004012B5">
        <w:rPr>
          <w:szCs w:val="24"/>
        </w:rPr>
        <w:t>.</w:t>
      </w:r>
    </w:p>
    <w:p w:rsidR="00756B9B" w:rsidRPr="004012B5" w:rsidRDefault="00756B9B" w:rsidP="00756B9B">
      <w:pPr>
        <w:rPr>
          <w:szCs w:val="24"/>
        </w:rPr>
      </w:pPr>
      <w:r w:rsidRPr="004012B5">
        <w:rPr>
          <w:szCs w:val="24"/>
        </w:rPr>
        <w:t xml:space="preserve"> </w:t>
      </w:r>
    </w:p>
    <w:p w:rsidR="00756B9B" w:rsidRPr="004012B5" w:rsidRDefault="002C3191" w:rsidP="00756B9B">
      <w:pPr>
        <w:rPr>
          <w:b/>
          <w:szCs w:val="24"/>
        </w:rPr>
      </w:pPr>
      <w:r>
        <w:rPr>
          <w:b/>
          <w:szCs w:val="24"/>
        </w:rPr>
        <w:t>9</w:t>
      </w:r>
      <w:r w:rsidR="00756B9B" w:rsidRPr="004012B5">
        <w:rPr>
          <w:b/>
          <w:szCs w:val="24"/>
        </w:rPr>
        <w:t xml:space="preserve">. </w:t>
      </w:r>
      <w:r w:rsidR="00756B9B" w:rsidRPr="004012B5">
        <w:rPr>
          <w:b/>
          <w:szCs w:val="24"/>
          <w:u w:val="single"/>
        </w:rPr>
        <w:t>jautājums:</w:t>
      </w:r>
      <w:r w:rsidR="00756B9B" w:rsidRPr="004012B5">
        <w:rPr>
          <w:b/>
          <w:szCs w:val="24"/>
        </w:rPr>
        <w:t xml:space="preserve"> Banka A atvēra nominālo kontu Bankai B. Banka B, izmantojot Bankas A pakalpojumus, iegādāj</w:t>
      </w:r>
      <w:r w:rsidR="005E0064">
        <w:rPr>
          <w:b/>
          <w:szCs w:val="24"/>
        </w:rPr>
        <w:t>ā</w:t>
      </w:r>
      <w:r w:rsidR="00756B9B" w:rsidRPr="004012B5">
        <w:rPr>
          <w:b/>
          <w:szCs w:val="24"/>
        </w:rPr>
        <w:t>s finanšu instrumentus, iegrāmatojot tos nominālajā kontā</w:t>
      </w:r>
      <w:r w:rsidR="00C65357">
        <w:rPr>
          <w:b/>
          <w:szCs w:val="24"/>
        </w:rPr>
        <w:t xml:space="preserve">, un neiesniedza nekādu papildu informāciju par </w:t>
      </w:r>
      <w:r w:rsidR="007329ED">
        <w:rPr>
          <w:b/>
          <w:szCs w:val="24"/>
        </w:rPr>
        <w:t xml:space="preserve">Bankas </w:t>
      </w:r>
      <w:r w:rsidR="005E0064">
        <w:rPr>
          <w:b/>
          <w:szCs w:val="24"/>
        </w:rPr>
        <w:t xml:space="preserve">B </w:t>
      </w:r>
      <w:r w:rsidR="00C65357">
        <w:rPr>
          <w:b/>
          <w:szCs w:val="24"/>
        </w:rPr>
        <w:t xml:space="preserve">klientu, </w:t>
      </w:r>
      <w:r w:rsidR="007329ED">
        <w:rPr>
          <w:b/>
          <w:szCs w:val="24"/>
        </w:rPr>
        <w:t xml:space="preserve">uz </w:t>
      </w:r>
      <w:r w:rsidR="00C65357">
        <w:rPr>
          <w:b/>
          <w:szCs w:val="24"/>
        </w:rPr>
        <w:t>kur</w:t>
      </w:r>
      <w:r w:rsidR="007329ED">
        <w:rPr>
          <w:b/>
          <w:szCs w:val="24"/>
        </w:rPr>
        <w:t>a</w:t>
      </w:r>
      <w:r w:rsidR="00C65357">
        <w:rPr>
          <w:b/>
          <w:szCs w:val="24"/>
        </w:rPr>
        <w:t xml:space="preserve"> </w:t>
      </w:r>
      <w:r w:rsidR="007329ED">
        <w:rPr>
          <w:b/>
          <w:szCs w:val="24"/>
        </w:rPr>
        <w:t xml:space="preserve">rēķina tā </w:t>
      </w:r>
      <w:r w:rsidR="007329ED">
        <w:rPr>
          <w:b/>
          <w:szCs w:val="24"/>
        </w:rPr>
        <w:lastRenderedPageBreak/>
        <w:t>iegādāj</w:t>
      </w:r>
      <w:r w:rsidR="005E0064">
        <w:rPr>
          <w:b/>
          <w:szCs w:val="24"/>
        </w:rPr>
        <w:t>ā</w:t>
      </w:r>
      <w:r w:rsidR="007329ED">
        <w:rPr>
          <w:b/>
          <w:szCs w:val="24"/>
        </w:rPr>
        <w:t>s finanšu instrumentus</w:t>
      </w:r>
      <w:r w:rsidR="00756B9B" w:rsidRPr="004012B5">
        <w:rPr>
          <w:b/>
          <w:szCs w:val="24"/>
        </w:rPr>
        <w:t xml:space="preserve">. Vai ir pareizi uzskatīt, ka šajā gadījumā Bankai A, paziņojot </w:t>
      </w:r>
      <w:r w:rsidR="005A17BD">
        <w:rPr>
          <w:b/>
          <w:szCs w:val="24"/>
        </w:rPr>
        <w:t xml:space="preserve">par </w:t>
      </w:r>
      <w:r w:rsidR="00756B9B" w:rsidRPr="004012B5">
        <w:rPr>
          <w:b/>
          <w:szCs w:val="24"/>
        </w:rPr>
        <w:t>darījumu, jānorāda pircējs</w:t>
      </w:r>
      <w:r w:rsidR="005A17BD">
        <w:rPr>
          <w:b/>
          <w:szCs w:val="24"/>
        </w:rPr>
        <w:t> </w:t>
      </w:r>
      <w:r w:rsidR="00756B9B" w:rsidRPr="004012B5">
        <w:rPr>
          <w:b/>
          <w:szCs w:val="24"/>
        </w:rPr>
        <w:t>– Banka B?</w:t>
      </w:r>
    </w:p>
    <w:p w:rsidR="00756B9B" w:rsidRPr="004012B5" w:rsidRDefault="00756B9B" w:rsidP="00756B9B">
      <w:pPr>
        <w:rPr>
          <w:szCs w:val="24"/>
        </w:rPr>
      </w:pPr>
    </w:p>
    <w:p w:rsidR="00756B9B" w:rsidRPr="004012B5" w:rsidRDefault="00756B9B" w:rsidP="00756B9B">
      <w:pPr>
        <w:rPr>
          <w:szCs w:val="24"/>
        </w:rPr>
      </w:pPr>
      <w:r w:rsidRPr="004012B5">
        <w:rPr>
          <w:b/>
          <w:szCs w:val="24"/>
          <w:u w:val="single"/>
        </w:rPr>
        <w:t>Atbilde</w:t>
      </w:r>
      <w:r w:rsidRPr="004012B5">
        <w:rPr>
          <w:b/>
          <w:szCs w:val="24"/>
        </w:rPr>
        <w:t xml:space="preserve">: </w:t>
      </w:r>
      <w:r w:rsidRPr="004012B5">
        <w:rPr>
          <w:szCs w:val="24"/>
        </w:rPr>
        <w:t>FKTK ieskatā iepriekš minētajā piemērā ieguldījumu brokeru sabiedrībai vai kredītiestādei A nav pienākuma meklēt ieguldījumu brokeru sabiedrības vai kredītiestādes B gala klientu, un ieguldījumu brokeru sabiedrība vai kredītiestāde A ziņojumā kā pircēju norāda ieguldījumu brokeru sabiedrību vai kredītiestādi B.</w:t>
      </w:r>
    </w:p>
    <w:p w:rsidR="00756B9B" w:rsidRPr="004012B5" w:rsidRDefault="00756B9B" w:rsidP="00756B9B">
      <w:pPr>
        <w:rPr>
          <w:szCs w:val="24"/>
        </w:rPr>
      </w:pPr>
    </w:p>
    <w:p w:rsidR="00756B9B" w:rsidRPr="004012B5" w:rsidRDefault="002C3191" w:rsidP="00756B9B">
      <w:pPr>
        <w:rPr>
          <w:b/>
          <w:szCs w:val="24"/>
        </w:rPr>
      </w:pPr>
      <w:r>
        <w:rPr>
          <w:b/>
          <w:szCs w:val="24"/>
        </w:rPr>
        <w:t>10</w:t>
      </w:r>
      <w:r w:rsidR="00756B9B" w:rsidRPr="004012B5">
        <w:rPr>
          <w:b/>
          <w:szCs w:val="24"/>
        </w:rPr>
        <w:t xml:space="preserve">. </w:t>
      </w:r>
      <w:r w:rsidR="00756B9B" w:rsidRPr="004012B5">
        <w:rPr>
          <w:b/>
          <w:szCs w:val="24"/>
          <w:u w:val="single"/>
        </w:rPr>
        <w:t>jautājums:</w:t>
      </w:r>
      <w:r w:rsidR="00756B9B" w:rsidRPr="004012B5">
        <w:rPr>
          <w:b/>
          <w:szCs w:val="24"/>
        </w:rPr>
        <w:t xml:space="preserve"> Bankai A ir atvērts nominālais konts Bankā B. Starp bankām nav noslēgts līgums par </w:t>
      </w:r>
      <w:proofErr w:type="spellStart"/>
      <w:r w:rsidR="00756B9B" w:rsidRPr="004012B5">
        <w:rPr>
          <w:b/>
          <w:szCs w:val="24"/>
        </w:rPr>
        <w:t>reportinga</w:t>
      </w:r>
      <w:proofErr w:type="spellEnd"/>
      <w:r w:rsidR="00756B9B" w:rsidRPr="004012B5">
        <w:rPr>
          <w:b/>
          <w:szCs w:val="24"/>
        </w:rPr>
        <w:t xml:space="preserve"> deleģēšanu. Bankas A klients C iesniedz finanšu instrumentu pirkšanas rīkojumu. Banka A šo rīkojumu pārsūta izpildei Bankai B. Vai ir pareizi uzskatīt, ka šajā gadījumā Banka A paziņo par darījumu ar klientu C, savukārt Banka B paziņo par darījumu ar Banku A, proti, ir divi ziņojumi?</w:t>
      </w:r>
    </w:p>
    <w:p w:rsidR="00756B9B" w:rsidRPr="004012B5" w:rsidRDefault="00756B9B" w:rsidP="00756B9B">
      <w:pPr>
        <w:rPr>
          <w:szCs w:val="24"/>
        </w:rPr>
      </w:pPr>
    </w:p>
    <w:p w:rsidR="00756B9B" w:rsidRPr="004012B5" w:rsidRDefault="00756B9B" w:rsidP="00756B9B">
      <w:pPr>
        <w:rPr>
          <w:szCs w:val="24"/>
        </w:rPr>
      </w:pPr>
      <w:r w:rsidRPr="004012B5">
        <w:rPr>
          <w:b/>
          <w:szCs w:val="24"/>
          <w:u w:val="single"/>
        </w:rPr>
        <w:t>Atbilde</w:t>
      </w:r>
      <w:r w:rsidRPr="004012B5">
        <w:rPr>
          <w:b/>
          <w:szCs w:val="24"/>
        </w:rPr>
        <w:t xml:space="preserve">: </w:t>
      </w:r>
      <w:r w:rsidRPr="004012B5">
        <w:rPr>
          <w:szCs w:val="24"/>
        </w:rPr>
        <w:t xml:space="preserve">Ja rīkojumu pārsūtīšana notiek, neizpildot </w:t>
      </w:r>
      <w:r w:rsidR="007329ED">
        <w:rPr>
          <w:szCs w:val="24"/>
        </w:rPr>
        <w:t xml:space="preserve">kādu no </w:t>
      </w:r>
      <w:r w:rsidRPr="004012B5">
        <w:rPr>
          <w:szCs w:val="24"/>
        </w:rPr>
        <w:t>Regulas Nr. 2017/590 4. panta 1. punkt</w:t>
      </w:r>
      <w:r w:rsidR="00E92D66">
        <w:rPr>
          <w:szCs w:val="24"/>
        </w:rPr>
        <w:t>ā</w:t>
      </w:r>
      <w:r w:rsidRPr="004012B5">
        <w:rPr>
          <w:szCs w:val="24"/>
        </w:rPr>
        <w:t xml:space="preserve"> minēt</w:t>
      </w:r>
      <w:r w:rsidR="00050D5B">
        <w:rPr>
          <w:szCs w:val="24"/>
        </w:rPr>
        <w:t>aj</w:t>
      </w:r>
      <w:r w:rsidR="007329ED">
        <w:rPr>
          <w:szCs w:val="24"/>
        </w:rPr>
        <w:t>iem</w:t>
      </w:r>
      <w:r w:rsidRPr="004012B5">
        <w:rPr>
          <w:szCs w:val="24"/>
        </w:rPr>
        <w:t xml:space="preserve"> nosacījum</w:t>
      </w:r>
      <w:r w:rsidR="007329ED">
        <w:rPr>
          <w:szCs w:val="24"/>
        </w:rPr>
        <w:t>iem</w:t>
      </w:r>
      <w:r w:rsidRPr="004012B5">
        <w:rPr>
          <w:szCs w:val="24"/>
        </w:rPr>
        <w:t xml:space="preserve">, tad ieguldījumu brokeru sabiedrība vai kredītiestāde, kas veic darījumu ar finanšu instrumentiem, ziņo par darījumu ar savu darījumu partneri vai klientu. Iepriekš minētajā piemērā ir divi ziņojumi – Banka A ziņo par darījumu ar klientu C, bet Banka B ziņo par darījumu ar Banku A. </w:t>
      </w:r>
    </w:p>
    <w:p w:rsidR="00756B9B" w:rsidRPr="004012B5" w:rsidRDefault="00756B9B" w:rsidP="00756B9B">
      <w:pPr>
        <w:rPr>
          <w:szCs w:val="24"/>
        </w:rPr>
      </w:pPr>
    </w:p>
    <w:p w:rsidR="00756B9B" w:rsidRPr="004012B5" w:rsidRDefault="00756B9B" w:rsidP="00756B9B">
      <w:pPr>
        <w:rPr>
          <w:szCs w:val="24"/>
        </w:rPr>
      </w:pPr>
      <w:r w:rsidRPr="004012B5">
        <w:rPr>
          <w:szCs w:val="24"/>
        </w:rPr>
        <w:t>Kā aizpildīt laukus dažādu rīkojumu pārsūtīšanas scenāriju gadījumā, FKTK iesaka skatīt Pamatnostādņu 5.26. iedaļā publicētajos piemēros.</w:t>
      </w:r>
    </w:p>
    <w:p w:rsidR="00756B9B" w:rsidRPr="004012B5" w:rsidRDefault="00756B9B" w:rsidP="00756B9B">
      <w:pPr>
        <w:rPr>
          <w:szCs w:val="24"/>
        </w:rPr>
      </w:pPr>
    </w:p>
    <w:p w:rsidR="00756B9B" w:rsidRPr="004012B5" w:rsidRDefault="004012B5" w:rsidP="00756B9B">
      <w:pPr>
        <w:rPr>
          <w:szCs w:val="24"/>
        </w:rPr>
      </w:pPr>
      <w:r>
        <w:rPr>
          <w:b/>
          <w:szCs w:val="24"/>
        </w:rPr>
        <w:t>1</w:t>
      </w:r>
      <w:r w:rsidR="002C3191">
        <w:rPr>
          <w:b/>
          <w:szCs w:val="24"/>
        </w:rPr>
        <w:t>1</w:t>
      </w:r>
      <w:r w:rsidR="00756B9B" w:rsidRPr="004012B5">
        <w:rPr>
          <w:b/>
          <w:szCs w:val="24"/>
        </w:rPr>
        <w:t xml:space="preserve">. </w:t>
      </w:r>
      <w:r w:rsidR="00756B9B" w:rsidRPr="004012B5">
        <w:rPr>
          <w:b/>
          <w:szCs w:val="24"/>
          <w:u w:val="single"/>
        </w:rPr>
        <w:t>jautājums:</w:t>
      </w:r>
      <w:r w:rsidR="00756B9B" w:rsidRPr="004012B5">
        <w:rPr>
          <w:b/>
          <w:szCs w:val="24"/>
        </w:rPr>
        <w:t xml:space="preserve"> Ņemot vērā to, ka Regula Nr. 2017/590 stāsies spēkā 2018. gada 3.</w:t>
      </w:r>
      <w:r w:rsidR="00F24202">
        <w:rPr>
          <w:b/>
          <w:szCs w:val="24"/>
        </w:rPr>
        <w:t> </w:t>
      </w:r>
      <w:r w:rsidR="00756B9B" w:rsidRPr="004012B5">
        <w:rPr>
          <w:b/>
          <w:szCs w:val="24"/>
        </w:rPr>
        <w:t>janvārī, vai ir pareizi uzskatīt, ka pirmais paziņojums saskaņā ar jaun</w:t>
      </w:r>
      <w:r w:rsidR="00F24202">
        <w:rPr>
          <w:b/>
          <w:szCs w:val="24"/>
        </w:rPr>
        <w:t>aj</w:t>
      </w:r>
      <w:r w:rsidR="00756B9B" w:rsidRPr="004012B5">
        <w:rPr>
          <w:b/>
          <w:szCs w:val="24"/>
        </w:rPr>
        <w:t>ām prasībām būs 2018. gada 4. janvārī par finanšu instrumentu darījumiem, kuri tika noslēgti 2018.</w:t>
      </w:r>
      <w:r w:rsidR="00F24202">
        <w:rPr>
          <w:b/>
          <w:szCs w:val="24"/>
        </w:rPr>
        <w:t> </w:t>
      </w:r>
      <w:r w:rsidR="00756B9B" w:rsidRPr="004012B5">
        <w:rPr>
          <w:b/>
          <w:szCs w:val="24"/>
        </w:rPr>
        <w:t>gada 3. janvārī?</w:t>
      </w:r>
    </w:p>
    <w:p w:rsidR="00756B9B" w:rsidRPr="004012B5" w:rsidRDefault="00756B9B" w:rsidP="00756B9B">
      <w:pPr>
        <w:rPr>
          <w:szCs w:val="24"/>
        </w:rPr>
      </w:pPr>
    </w:p>
    <w:p w:rsidR="00756B9B" w:rsidRDefault="00756B9B" w:rsidP="00756B9B">
      <w:pPr>
        <w:rPr>
          <w:szCs w:val="24"/>
        </w:rPr>
      </w:pPr>
      <w:r w:rsidRPr="004012B5">
        <w:rPr>
          <w:b/>
          <w:szCs w:val="24"/>
          <w:u w:val="single"/>
        </w:rPr>
        <w:t>Atbilde</w:t>
      </w:r>
      <w:r w:rsidRPr="004012B5">
        <w:rPr>
          <w:b/>
          <w:szCs w:val="24"/>
        </w:rPr>
        <w:t xml:space="preserve">: </w:t>
      </w:r>
      <w:r w:rsidRPr="004012B5">
        <w:rPr>
          <w:szCs w:val="24"/>
        </w:rPr>
        <w:t xml:space="preserve">Saskaņā ar </w:t>
      </w:r>
      <w:proofErr w:type="spellStart"/>
      <w:r w:rsidR="00447AA0" w:rsidRPr="004012B5">
        <w:rPr>
          <w:szCs w:val="24"/>
        </w:rPr>
        <w:t>MiFIR</w:t>
      </w:r>
      <w:proofErr w:type="spellEnd"/>
      <w:r w:rsidR="00447AA0" w:rsidRPr="004012B5">
        <w:rPr>
          <w:szCs w:val="24"/>
        </w:rPr>
        <w:t xml:space="preserve"> regulas </w:t>
      </w:r>
      <w:r w:rsidRPr="004012B5">
        <w:rPr>
          <w:szCs w:val="24"/>
        </w:rPr>
        <w:t>26. panta 1. punkta pirmo daļu ziņojumi par darījumiem ar finanšu instrumentiem jāiesniedz kompetentajai iestādei iespējami ātrāk un ne vēlāk kā nākamās darbdienas beigās. Jaunās prasības attieksies uz darījumiem, kas tiks noslēgti, sākot ar 2018. gada 3. janvāri, un par šajā datumā noslēgtajiem darījumiem ziņojumi kompetentajai iestādei (Latvijā – FKTK) būs jānosūta līdz 2018. gada 4. janvāra dienas beigām.</w:t>
      </w:r>
    </w:p>
    <w:p w:rsidR="003008B6" w:rsidRPr="004012B5" w:rsidRDefault="003008B6" w:rsidP="00756B9B">
      <w:pPr>
        <w:rPr>
          <w:szCs w:val="24"/>
        </w:rPr>
      </w:pPr>
    </w:p>
    <w:p w:rsidR="00756B9B" w:rsidRPr="004012B5" w:rsidRDefault="004012B5" w:rsidP="00756B9B">
      <w:pPr>
        <w:rPr>
          <w:b/>
          <w:szCs w:val="24"/>
        </w:rPr>
      </w:pPr>
      <w:r>
        <w:rPr>
          <w:b/>
          <w:szCs w:val="24"/>
        </w:rPr>
        <w:t>1</w:t>
      </w:r>
      <w:r w:rsidR="007D65F2">
        <w:rPr>
          <w:b/>
          <w:szCs w:val="24"/>
        </w:rPr>
        <w:t>2</w:t>
      </w:r>
      <w:r w:rsidR="00756B9B" w:rsidRPr="004012B5">
        <w:rPr>
          <w:b/>
          <w:szCs w:val="24"/>
        </w:rPr>
        <w:t xml:space="preserve">. </w:t>
      </w:r>
      <w:r w:rsidR="00756B9B" w:rsidRPr="004012B5">
        <w:rPr>
          <w:b/>
          <w:szCs w:val="24"/>
          <w:u w:val="single"/>
        </w:rPr>
        <w:t>jautājums</w:t>
      </w:r>
      <w:r w:rsidR="00756B9B" w:rsidRPr="004012B5">
        <w:rPr>
          <w:b/>
          <w:szCs w:val="24"/>
        </w:rPr>
        <w:t>: Regulas Nr. 2017/590 1. pantā ir noteikta šāda ziņojumu iesniegšanas kārtība kompetentajai iestādei (</w:t>
      </w:r>
      <w:r w:rsidR="00F24202">
        <w:rPr>
          <w:b/>
          <w:szCs w:val="24"/>
        </w:rPr>
        <w:t>FKTK</w:t>
      </w:r>
      <w:r w:rsidR="00756B9B" w:rsidRPr="004012B5">
        <w:rPr>
          <w:b/>
          <w:szCs w:val="24"/>
        </w:rPr>
        <w:t>):</w:t>
      </w:r>
      <w:r w:rsidR="003008B6">
        <w:rPr>
          <w:b/>
          <w:szCs w:val="24"/>
        </w:rPr>
        <w:t xml:space="preserve"> </w:t>
      </w:r>
      <w:r w:rsidR="00280539">
        <w:rPr>
          <w:b/>
          <w:szCs w:val="24"/>
        </w:rPr>
        <w:t>z</w:t>
      </w:r>
      <w:r w:rsidR="00756B9B" w:rsidRPr="004012B5">
        <w:rPr>
          <w:b/>
          <w:szCs w:val="24"/>
        </w:rPr>
        <w:t>iņojumā par darījumu iekļauj visu I</w:t>
      </w:r>
      <w:r w:rsidR="00050D5B">
        <w:rPr>
          <w:b/>
          <w:szCs w:val="24"/>
        </w:rPr>
        <w:t> </w:t>
      </w:r>
      <w:r w:rsidR="00756B9B" w:rsidRPr="004012B5">
        <w:rPr>
          <w:b/>
          <w:szCs w:val="24"/>
        </w:rPr>
        <w:t>pielikuma 2. tabulā minēto sīkāko informāciju, kas ir saistīta ar attiecīgo finanšu instrumentu. Visu informāciju, kas ir jāiekļauj ziņojumā par darījumu, iesniedz saskaņā ar I</w:t>
      </w:r>
      <w:r w:rsidR="00280539">
        <w:rPr>
          <w:b/>
          <w:szCs w:val="24"/>
        </w:rPr>
        <w:t> </w:t>
      </w:r>
      <w:r w:rsidR="00756B9B" w:rsidRPr="004012B5">
        <w:rPr>
          <w:b/>
          <w:szCs w:val="24"/>
        </w:rPr>
        <w:t xml:space="preserve">pielikuma 2. tabulā noteiktajiem standartiem un formātiem, elektroniskā un mašīnlasāmā formā un kopējā </w:t>
      </w:r>
      <w:r w:rsidR="00756B9B" w:rsidRPr="00946501">
        <w:rPr>
          <w:b/>
          <w:i/>
          <w:szCs w:val="24"/>
        </w:rPr>
        <w:t>XML</w:t>
      </w:r>
      <w:r w:rsidR="00756B9B" w:rsidRPr="004012B5">
        <w:rPr>
          <w:b/>
          <w:szCs w:val="24"/>
        </w:rPr>
        <w:t xml:space="preserve"> veidnē saskaņā ar </w:t>
      </w:r>
      <w:r w:rsidR="00756B9B" w:rsidRPr="00946501">
        <w:rPr>
          <w:b/>
          <w:i/>
          <w:szCs w:val="24"/>
        </w:rPr>
        <w:t>ISO</w:t>
      </w:r>
      <w:r w:rsidR="00756B9B" w:rsidRPr="004012B5">
        <w:rPr>
          <w:b/>
          <w:szCs w:val="24"/>
        </w:rPr>
        <w:t xml:space="preserve"> 20022 metodoloģiju.</w:t>
      </w:r>
      <w:r w:rsidR="00050D5B">
        <w:rPr>
          <w:b/>
          <w:szCs w:val="24"/>
        </w:rPr>
        <w:t xml:space="preserve"> </w:t>
      </w:r>
      <w:r w:rsidR="00756B9B" w:rsidRPr="004012B5">
        <w:rPr>
          <w:b/>
          <w:szCs w:val="24"/>
        </w:rPr>
        <w:t>Lūdzam informēt, vai FKTK piedāvās tirgus dalībniekiem iespēju testēt šo ziņojumu iesniegšanas kārtību (ar datu iesniegšanu FKTK)</w:t>
      </w:r>
      <w:r w:rsidR="00280539">
        <w:rPr>
          <w:b/>
          <w:szCs w:val="24"/>
        </w:rPr>
        <w:t>,</w:t>
      </w:r>
      <w:r w:rsidR="00756B9B" w:rsidRPr="004012B5">
        <w:rPr>
          <w:b/>
          <w:szCs w:val="24"/>
        </w:rPr>
        <w:t xml:space="preserve"> pirms šī prasība </w:t>
      </w:r>
      <w:r w:rsidR="00F24202">
        <w:rPr>
          <w:b/>
          <w:szCs w:val="24"/>
        </w:rPr>
        <w:t>būs</w:t>
      </w:r>
      <w:r w:rsidR="00F24202" w:rsidRPr="004012B5">
        <w:rPr>
          <w:b/>
          <w:szCs w:val="24"/>
        </w:rPr>
        <w:t xml:space="preserve"> </w:t>
      </w:r>
      <w:r w:rsidR="00756B9B" w:rsidRPr="004012B5">
        <w:rPr>
          <w:b/>
          <w:szCs w:val="24"/>
        </w:rPr>
        <w:t>piemērojama.</w:t>
      </w:r>
    </w:p>
    <w:p w:rsidR="00756B9B" w:rsidRPr="004012B5" w:rsidRDefault="00756B9B" w:rsidP="00756B9B">
      <w:pPr>
        <w:rPr>
          <w:szCs w:val="24"/>
        </w:rPr>
      </w:pPr>
    </w:p>
    <w:p w:rsidR="00756B9B" w:rsidRPr="004012B5" w:rsidRDefault="00756B9B" w:rsidP="00756B9B">
      <w:pPr>
        <w:rPr>
          <w:szCs w:val="24"/>
        </w:rPr>
      </w:pPr>
      <w:r w:rsidRPr="004012B5">
        <w:rPr>
          <w:b/>
          <w:szCs w:val="24"/>
          <w:u w:val="single"/>
        </w:rPr>
        <w:t>Atbilde</w:t>
      </w:r>
      <w:r w:rsidRPr="004012B5">
        <w:rPr>
          <w:b/>
          <w:szCs w:val="24"/>
        </w:rPr>
        <w:t>:</w:t>
      </w:r>
      <w:r w:rsidRPr="004012B5">
        <w:rPr>
          <w:b/>
        </w:rPr>
        <w:t xml:space="preserve"> </w:t>
      </w:r>
      <w:r w:rsidRPr="004012B5">
        <w:rPr>
          <w:szCs w:val="24"/>
        </w:rPr>
        <w:t>FKTK norāda, ka jaunajām prasībām atbilstošo ziņojumu, kuru saturu un formātu nosaka Regula Nr. 2017/590, iesniegšanas kārtība būs līdzīga pašreizējai ziņošanas par darījumiem kārtībai. Ziņojumi FKTK būs iesūtāmi elektroniski, izmantojot Datu ziņošanas sistēmu (turpmāk – DZS), kuras interneta adrese ir https://dati.fktk.lv.</w:t>
      </w:r>
    </w:p>
    <w:p w:rsidR="00756B9B" w:rsidRPr="004012B5" w:rsidRDefault="00756B9B" w:rsidP="00756B9B">
      <w:pPr>
        <w:rPr>
          <w:szCs w:val="24"/>
        </w:rPr>
      </w:pPr>
    </w:p>
    <w:p w:rsidR="00756B9B" w:rsidRPr="004012B5" w:rsidRDefault="00756B9B" w:rsidP="00756B9B">
      <w:pPr>
        <w:rPr>
          <w:szCs w:val="24"/>
        </w:rPr>
      </w:pPr>
      <w:r w:rsidRPr="004012B5">
        <w:rPr>
          <w:szCs w:val="24"/>
        </w:rPr>
        <w:t xml:space="preserve">FKTK informē, ka tirgus dalībniekiem tiks piedāvāta iespēja iesūtīt savus ziņojumus testa režīmā. Tiek plānots, ka tirgus dalībnieki varēs iesūtīt DZS savus testa ziņojumus par darījumiem ar finanšu instrumentiem, </w:t>
      </w:r>
      <w:r w:rsidR="00BB1713" w:rsidRPr="00046015">
        <w:rPr>
          <w:szCs w:val="24"/>
        </w:rPr>
        <w:t xml:space="preserve">sākot ar </w:t>
      </w:r>
      <w:r w:rsidR="00BB1713" w:rsidRPr="007E303C">
        <w:rPr>
          <w:szCs w:val="24"/>
        </w:rPr>
        <w:t>2017. gada novembra beigām līdz gada beigām.</w:t>
      </w:r>
    </w:p>
    <w:p w:rsidR="00756B9B" w:rsidRPr="004012B5" w:rsidRDefault="00756B9B" w:rsidP="00756B9B">
      <w:pPr>
        <w:rPr>
          <w:szCs w:val="24"/>
        </w:rPr>
      </w:pPr>
    </w:p>
    <w:p w:rsidR="00756B9B" w:rsidRPr="004012B5" w:rsidRDefault="004012B5" w:rsidP="00756B9B">
      <w:pPr>
        <w:rPr>
          <w:b/>
          <w:szCs w:val="24"/>
        </w:rPr>
      </w:pPr>
      <w:r>
        <w:rPr>
          <w:b/>
          <w:szCs w:val="24"/>
        </w:rPr>
        <w:lastRenderedPageBreak/>
        <w:t>1</w:t>
      </w:r>
      <w:r w:rsidR="003008B6">
        <w:rPr>
          <w:b/>
          <w:szCs w:val="24"/>
        </w:rPr>
        <w:t>3</w:t>
      </w:r>
      <w:r w:rsidR="00756B9B" w:rsidRPr="004012B5">
        <w:rPr>
          <w:b/>
          <w:szCs w:val="24"/>
        </w:rPr>
        <w:t xml:space="preserve">. </w:t>
      </w:r>
      <w:r w:rsidR="00756B9B" w:rsidRPr="004012B5">
        <w:rPr>
          <w:b/>
          <w:szCs w:val="24"/>
          <w:u w:val="single"/>
        </w:rPr>
        <w:t>jautājums</w:t>
      </w:r>
      <w:r w:rsidR="00756B9B" w:rsidRPr="004012B5">
        <w:rPr>
          <w:b/>
          <w:szCs w:val="24"/>
        </w:rPr>
        <w:t xml:space="preserve">: Attiecībā uz 2017. gada 22. maija EVTI sniegto viedokli </w:t>
      </w:r>
      <w:r w:rsidR="00447AA0" w:rsidRPr="004012B5">
        <w:rPr>
          <w:b/>
          <w:szCs w:val="24"/>
        </w:rPr>
        <w:t>E</w:t>
      </w:r>
      <w:r w:rsidR="00FC249A" w:rsidRPr="004012B5">
        <w:rPr>
          <w:b/>
          <w:szCs w:val="24"/>
        </w:rPr>
        <w:t>SMA</w:t>
      </w:r>
      <w:r w:rsidR="00756B9B" w:rsidRPr="004012B5">
        <w:rPr>
          <w:b/>
          <w:szCs w:val="24"/>
        </w:rPr>
        <w:t>70-156-117 "Par tirdzniecības vietā tirgotiem ārpusbiržas atvasinātajiem instrumentiem" (latviešu valodā dokuments nav pieejams). Ievērojot, ka Regulas Nr. 2017/585 pielikuma 3. tabulas 1. un 26. laukā ir paredzēts ievadīt informāciju par finanšu instrumenta vai pamatā esošā instrumenta ISIN kodiem, un ņemot vērā iepriekš minētā EVTI viedokļa 10-12. punktā minēto – vai tirgus dalībnieki var uzskatīt, ka visi ārpusbiržas atvasinātie instrumenti, kuriem nav piešķirts ISIN kods, netiek uzskatīti par tādiem, kuriem ir tie paši atsauces dati kā tirdzniecības vietā tirgotiem finanšu instrumentiem (</w:t>
      </w:r>
      <w:r w:rsidR="00756B9B" w:rsidRPr="004012B5">
        <w:rPr>
          <w:b/>
          <w:i/>
          <w:szCs w:val="24"/>
        </w:rPr>
        <w:t xml:space="preserve">OTC </w:t>
      </w:r>
      <w:proofErr w:type="spellStart"/>
      <w:r w:rsidR="00756B9B" w:rsidRPr="004012B5">
        <w:rPr>
          <w:b/>
          <w:i/>
          <w:szCs w:val="24"/>
        </w:rPr>
        <w:t>derivatives</w:t>
      </w:r>
      <w:proofErr w:type="spellEnd"/>
      <w:r w:rsidR="00756B9B" w:rsidRPr="004012B5">
        <w:rPr>
          <w:b/>
          <w:i/>
          <w:szCs w:val="24"/>
        </w:rPr>
        <w:t xml:space="preserve"> </w:t>
      </w:r>
      <w:proofErr w:type="spellStart"/>
      <w:r w:rsidR="00756B9B" w:rsidRPr="004012B5">
        <w:rPr>
          <w:b/>
          <w:i/>
          <w:szCs w:val="24"/>
        </w:rPr>
        <w:t>sharing</w:t>
      </w:r>
      <w:proofErr w:type="spellEnd"/>
      <w:r w:rsidR="00756B9B" w:rsidRPr="004012B5">
        <w:rPr>
          <w:b/>
          <w:i/>
          <w:szCs w:val="24"/>
        </w:rPr>
        <w:t xml:space="preserve"> </w:t>
      </w:r>
      <w:proofErr w:type="spellStart"/>
      <w:r w:rsidR="00756B9B" w:rsidRPr="004012B5">
        <w:rPr>
          <w:b/>
          <w:i/>
          <w:szCs w:val="24"/>
        </w:rPr>
        <w:t>the</w:t>
      </w:r>
      <w:proofErr w:type="spellEnd"/>
      <w:r w:rsidR="00756B9B" w:rsidRPr="004012B5">
        <w:rPr>
          <w:b/>
          <w:i/>
          <w:szCs w:val="24"/>
        </w:rPr>
        <w:t xml:space="preserve"> </w:t>
      </w:r>
      <w:proofErr w:type="spellStart"/>
      <w:r w:rsidR="00756B9B" w:rsidRPr="004012B5">
        <w:rPr>
          <w:b/>
          <w:i/>
          <w:szCs w:val="24"/>
        </w:rPr>
        <w:t>same</w:t>
      </w:r>
      <w:proofErr w:type="spellEnd"/>
      <w:r w:rsidR="00756B9B" w:rsidRPr="004012B5">
        <w:rPr>
          <w:b/>
          <w:i/>
          <w:szCs w:val="24"/>
        </w:rPr>
        <w:t xml:space="preserve"> reference </w:t>
      </w:r>
      <w:proofErr w:type="spellStart"/>
      <w:r w:rsidR="00756B9B" w:rsidRPr="004012B5">
        <w:rPr>
          <w:b/>
          <w:i/>
          <w:szCs w:val="24"/>
        </w:rPr>
        <w:t>data</w:t>
      </w:r>
      <w:proofErr w:type="spellEnd"/>
      <w:r w:rsidR="00756B9B" w:rsidRPr="004012B5">
        <w:rPr>
          <w:b/>
          <w:i/>
          <w:szCs w:val="24"/>
        </w:rPr>
        <w:t xml:space="preserve"> </w:t>
      </w:r>
      <w:proofErr w:type="spellStart"/>
      <w:r w:rsidR="00756B9B" w:rsidRPr="004012B5">
        <w:rPr>
          <w:b/>
          <w:i/>
          <w:szCs w:val="24"/>
        </w:rPr>
        <w:t>details</w:t>
      </w:r>
      <w:proofErr w:type="spellEnd"/>
      <w:r w:rsidR="00756B9B" w:rsidRPr="004012B5">
        <w:rPr>
          <w:b/>
          <w:i/>
          <w:szCs w:val="24"/>
        </w:rPr>
        <w:t xml:space="preserve"> as </w:t>
      </w:r>
      <w:proofErr w:type="spellStart"/>
      <w:r w:rsidR="00756B9B" w:rsidRPr="004012B5">
        <w:rPr>
          <w:b/>
          <w:i/>
          <w:szCs w:val="24"/>
        </w:rPr>
        <w:t>the</w:t>
      </w:r>
      <w:proofErr w:type="spellEnd"/>
      <w:r w:rsidR="00756B9B" w:rsidRPr="004012B5">
        <w:rPr>
          <w:b/>
          <w:i/>
          <w:szCs w:val="24"/>
        </w:rPr>
        <w:t xml:space="preserve"> </w:t>
      </w:r>
      <w:proofErr w:type="spellStart"/>
      <w:r w:rsidR="00756B9B" w:rsidRPr="004012B5">
        <w:rPr>
          <w:b/>
          <w:i/>
          <w:szCs w:val="24"/>
        </w:rPr>
        <w:t>derivatives</w:t>
      </w:r>
      <w:proofErr w:type="spellEnd"/>
      <w:r w:rsidR="00756B9B" w:rsidRPr="004012B5">
        <w:rPr>
          <w:b/>
          <w:i/>
          <w:szCs w:val="24"/>
        </w:rPr>
        <w:t xml:space="preserve"> </w:t>
      </w:r>
      <w:proofErr w:type="spellStart"/>
      <w:r w:rsidR="00756B9B" w:rsidRPr="004012B5">
        <w:rPr>
          <w:b/>
          <w:i/>
          <w:szCs w:val="24"/>
        </w:rPr>
        <w:t>traded</w:t>
      </w:r>
      <w:proofErr w:type="spellEnd"/>
      <w:r w:rsidR="00756B9B" w:rsidRPr="004012B5">
        <w:rPr>
          <w:b/>
          <w:i/>
          <w:szCs w:val="24"/>
        </w:rPr>
        <w:t xml:space="preserve"> </w:t>
      </w:r>
      <w:proofErr w:type="spellStart"/>
      <w:r w:rsidR="00756B9B" w:rsidRPr="004012B5">
        <w:rPr>
          <w:b/>
          <w:i/>
          <w:szCs w:val="24"/>
        </w:rPr>
        <w:t>or</w:t>
      </w:r>
      <w:proofErr w:type="spellEnd"/>
      <w:r w:rsidR="00756B9B" w:rsidRPr="004012B5">
        <w:rPr>
          <w:b/>
          <w:i/>
          <w:szCs w:val="24"/>
        </w:rPr>
        <w:t xml:space="preserve"> </w:t>
      </w:r>
      <w:proofErr w:type="spellStart"/>
      <w:r w:rsidR="00756B9B" w:rsidRPr="004012B5">
        <w:rPr>
          <w:b/>
          <w:i/>
          <w:szCs w:val="24"/>
        </w:rPr>
        <w:t>admitted</w:t>
      </w:r>
      <w:proofErr w:type="spellEnd"/>
      <w:r w:rsidR="00756B9B" w:rsidRPr="004012B5">
        <w:rPr>
          <w:b/>
          <w:i/>
          <w:szCs w:val="24"/>
        </w:rPr>
        <w:t xml:space="preserve"> to </w:t>
      </w:r>
      <w:proofErr w:type="spellStart"/>
      <w:r w:rsidR="00756B9B" w:rsidRPr="004012B5">
        <w:rPr>
          <w:b/>
          <w:i/>
          <w:szCs w:val="24"/>
        </w:rPr>
        <w:t>trading</w:t>
      </w:r>
      <w:proofErr w:type="spellEnd"/>
      <w:r w:rsidR="00756B9B" w:rsidRPr="004012B5">
        <w:rPr>
          <w:b/>
          <w:i/>
          <w:szCs w:val="24"/>
        </w:rPr>
        <w:t xml:space="preserve"> </w:t>
      </w:r>
      <w:proofErr w:type="spellStart"/>
      <w:r w:rsidR="00756B9B" w:rsidRPr="004012B5">
        <w:rPr>
          <w:b/>
          <w:i/>
          <w:szCs w:val="24"/>
        </w:rPr>
        <w:t>on</w:t>
      </w:r>
      <w:proofErr w:type="spellEnd"/>
      <w:r w:rsidR="00756B9B" w:rsidRPr="004012B5">
        <w:rPr>
          <w:b/>
          <w:i/>
          <w:szCs w:val="24"/>
        </w:rPr>
        <w:t xml:space="preserve"> a </w:t>
      </w:r>
      <w:proofErr w:type="spellStart"/>
      <w:r w:rsidR="00756B9B" w:rsidRPr="004012B5">
        <w:rPr>
          <w:b/>
          <w:i/>
          <w:szCs w:val="24"/>
        </w:rPr>
        <w:t>trading</w:t>
      </w:r>
      <w:proofErr w:type="spellEnd"/>
      <w:r w:rsidR="00756B9B" w:rsidRPr="004012B5">
        <w:rPr>
          <w:b/>
          <w:i/>
          <w:szCs w:val="24"/>
        </w:rPr>
        <w:t xml:space="preserve"> </w:t>
      </w:r>
      <w:proofErr w:type="spellStart"/>
      <w:r w:rsidR="00756B9B" w:rsidRPr="004012B5">
        <w:rPr>
          <w:b/>
          <w:i/>
          <w:szCs w:val="24"/>
        </w:rPr>
        <w:t>venue</w:t>
      </w:r>
      <w:proofErr w:type="spellEnd"/>
      <w:r w:rsidR="00756B9B" w:rsidRPr="004012B5">
        <w:rPr>
          <w:b/>
          <w:szCs w:val="24"/>
        </w:rPr>
        <w:t>)?</w:t>
      </w:r>
    </w:p>
    <w:p w:rsidR="00756B9B" w:rsidRPr="004012B5" w:rsidRDefault="00756B9B" w:rsidP="00756B9B">
      <w:pPr>
        <w:rPr>
          <w:szCs w:val="24"/>
        </w:rPr>
      </w:pPr>
    </w:p>
    <w:p w:rsidR="00756B9B" w:rsidRPr="004012B5" w:rsidRDefault="00756B9B" w:rsidP="00756B9B">
      <w:pPr>
        <w:rPr>
          <w:szCs w:val="24"/>
        </w:rPr>
      </w:pPr>
      <w:r w:rsidRPr="004012B5">
        <w:rPr>
          <w:b/>
          <w:szCs w:val="24"/>
          <w:u w:val="single"/>
        </w:rPr>
        <w:t>Atbilde</w:t>
      </w:r>
      <w:r w:rsidRPr="004012B5">
        <w:rPr>
          <w:b/>
          <w:szCs w:val="24"/>
        </w:rPr>
        <w:t xml:space="preserve">: </w:t>
      </w:r>
      <w:r w:rsidRPr="004012B5">
        <w:rPr>
          <w:szCs w:val="24"/>
        </w:rPr>
        <w:t xml:space="preserve">EVTI viedokļa dokumentā Nr. </w:t>
      </w:r>
      <w:r w:rsidR="00447AA0" w:rsidRPr="004012B5">
        <w:rPr>
          <w:szCs w:val="24"/>
        </w:rPr>
        <w:t>E</w:t>
      </w:r>
      <w:r w:rsidR="00FC249A" w:rsidRPr="004012B5">
        <w:rPr>
          <w:szCs w:val="24"/>
        </w:rPr>
        <w:t>SMA</w:t>
      </w:r>
      <w:r w:rsidRPr="004012B5">
        <w:rPr>
          <w:szCs w:val="24"/>
        </w:rPr>
        <w:t>70-156-117 "Par tirdzniecības vietā tirgotiem ārpusbiržas atvasinātajiem instrumentiem" (</w:t>
      </w:r>
      <w:r w:rsidRPr="004012B5">
        <w:rPr>
          <w:i/>
          <w:szCs w:val="24"/>
        </w:rPr>
        <w:t xml:space="preserve">OTC </w:t>
      </w:r>
      <w:proofErr w:type="spellStart"/>
      <w:r w:rsidRPr="004012B5">
        <w:rPr>
          <w:i/>
          <w:szCs w:val="24"/>
        </w:rPr>
        <w:t>derivatives</w:t>
      </w:r>
      <w:proofErr w:type="spellEnd"/>
      <w:r w:rsidRPr="004012B5">
        <w:rPr>
          <w:i/>
          <w:szCs w:val="24"/>
        </w:rPr>
        <w:t xml:space="preserve"> </w:t>
      </w:r>
      <w:proofErr w:type="spellStart"/>
      <w:r w:rsidRPr="004012B5">
        <w:rPr>
          <w:i/>
          <w:szCs w:val="24"/>
        </w:rPr>
        <w:t>traded</w:t>
      </w:r>
      <w:proofErr w:type="spellEnd"/>
      <w:r w:rsidRPr="004012B5">
        <w:rPr>
          <w:i/>
          <w:szCs w:val="24"/>
        </w:rPr>
        <w:t xml:space="preserve"> </w:t>
      </w:r>
      <w:proofErr w:type="spellStart"/>
      <w:r w:rsidRPr="004012B5">
        <w:rPr>
          <w:i/>
          <w:szCs w:val="24"/>
        </w:rPr>
        <w:t>on</w:t>
      </w:r>
      <w:proofErr w:type="spellEnd"/>
      <w:r w:rsidRPr="004012B5">
        <w:rPr>
          <w:i/>
          <w:szCs w:val="24"/>
        </w:rPr>
        <w:t xml:space="preserve"> a </w:t>
      </w:r>
      <w:proofErr w:type="spellStart"/>
      <w:r w:rsidRPr="004012B5">
        <w:rPr>
          <w:i/>
          <w:szCs w:val="24"/>
        </w:rPr>
        <w:t>trading</w:t>
      </w:r>
      <w:proofErr w:type="spellEnd"/>
      <w:r w:rsidRPr="004012B5">
        <w:rPr>
          <w:i/>
          <w:szCs w:val="24"/>
        </w:rPr>
        <w:t xml:space="preserve"> </w:t>
      </w:r>
      <w:proofErr w:type="spellStart"/>
      <w:r w:rsidRPr="004012B5">
        <w:rPr>
          <w:i/>
          <w:szCs w:val="24"/>
        </w:rPr>
        <w:t>venue</w:t>
      </w:r>
      <w:proofErr w:type="spellEnd"/>
      <w:r w:rsidRPr="004012B5">
        <w:rPr>
          <w:szCs w:val="24"/>
        </w:rPr>
        <w:t>) norādīts, ka ārpusbiržas atvasināt</w:t>
      </w:r>
      <w:r w:rsidR="00F24202">
        <w:rPr>
          <w:szCs w:val="24"/>
        </w:rPr>
        <w:t>aj</w:t>
      </w:r>
      <w:r w:rsidRPr="004012B5">
        <w:rPr>
          <w:szCs w:val="24"/>
        </w:rPr>
        <w:t>ie</w:t>
      </w:r>
      <w:r w:rsidR="00F24202">
        <w:rPr>
          <w:szCs w:val="24"/>
        </w:rPr>
        <w:t>m</w:t>
      </w:r>
      <w:r w:rsidRPr="004012B5">
        <w:rPr>
          <w:szCs w:val="24"/>
        </w:rPr>
        <w:t xml:space="preserve"> finanšu instrumentiem ir tādi paši atsauces dati kā tirdzniecības vietā tirgotiem finanšu instrumentiem, ja aizpildīti visi Regulas Nr. 2017/585 pielikuma 3. tabulā minētie lauki, izņemot 5</w:t>
      </w:r>
      <w:r w:rsidR="004E0CA9">
        <w:rPr>
          <w:szCs w:val="24"/>
        </w:rPr>
        <w:t>.</w:t>
      </w:r>
      <w:r w:rsidRPr="004012B5">
        <w:rPr>
          <w:szCs w:val="24"/>
        </w:rPr>
        <w:t>–12</w:t>
      </w:r>
      <w:r w:rsidR="004E0CA9">
        <w:rPr>
          <w:szCs w:val="24"/>
        </w:rPr>
        <w:t>. lauku</w:t>
      </w:r>
      <w:r w:rsidRPr="004012B5">
        <w:rPr>
          <w:szCs w:val="24"/>
        </w:rPr>
        <w:t xml:space="preserve">, kas raksturo tirdzniecības vietu un ar to saistīto informāciju. Tikai tie ārpusbiržas atvasinātie finanšu instrumenti, kuriem ir tādi paši atsauces dati kā tirdzniecības vietā tirgotiem finanšu instrumentiem, tiek uzskatīti par tirdzniecības vietā tirgotiem, un tādējādi uz tiem attiecas </w:t>
      </w:r>
      <w:proofErr w:type="spellStart"/>
      <w:r w:rsidR="00447AA0" w:rsidRPr="004012B5">
        <w:rPr>
          <w:szCs w:val="24"/>
        </w:rPr>
        <w:t>MiFIR</w:t>
      </w:r>
      <w:proofErr w:type="spellEnd"/>
      <w:r w:rsidR="00447AA0" w:rsidRPr="004012B5">
        <w:rPr>
          <w:szCs w:val="24"/>
        </w:rPr>
        <w:t xml:space="preserve"> regulas </w:t>
      </w:r>
      <w:r w:rsidRPr="004012B5">
        <w:rPr>
          <w:szCs w:val="24"/>
        </w:rPr>
        <w:t xml:space="preserve">prasības </w:t>
      </w:r>
      <w:r w:rsidR="004E0CA9">
        <w:rPr>
          <w:szCs w:val="24"/>
        </w:rPr>
        <w:t>par</w:t>
      </w:r>
      <w:r w:rsidRPr="004012B5">
        <w:rPr>
          <w:szCs w:val="24"/>
        </w:rPr>
        <w:t xml:space="preserve"> pārredzamību un pienākums ziņot par darījumiem ar šiem finanšu instrumentiem saskaņā ar </w:t>
      </w:r>
      <w:proofErr w:type="spellStart"/>
      <w:r w:rsidR="00447AA0" w:rsidRPr="004012B5">
        <w:rPr>
          <w:szCs w:val="24"/>
        </w:rPr>
        <w:t>MiFIR</w:t>
      </w:r>
      <w:proofErr w:type="spellEnd"/>
      <w:r w:rsidR="00447AA0" w:rsidRPr="004012B5">
        <w:rPr>
          <w:szCs w:val="24"/>
        </w:rPr>
        <w:t xml:space="preserve"> regulas </w:t>
      </w:r>
      <w:r w:rsidRPr="004012B5">
        <w:rPr>
          <w:szCs w:val="24"/>
        </w:rPr>
        <w:t>26. panta 2. punkta a) apakšpunktu.</w:t>
      </w:r>
    </w:p>
    <w:p w:rsidR="00756B9B" w:rsidRPr="004012B5" w:rsidRDefault="00756B9B" w:rsidP="00756B9B">
      <w:pPr>
        <w:rPr>
          <w:szCs w:val="24"/>
        </w:rPr>
      </w:pPr>
    </w:p>
    <w:p w:rsidR="00756B9B" w:rsidRPr="004012B5" w:rsidRDefault="00756B9B" w:rsidP="00756B9B">
      <w:pPr>
        <w:rPr>
          <w:szCs w:val="24"/>
        </w:rPr>
      </w:pPr>
      <w:r w:rsidRPr="004012B5">
        <w:rPr>
          <w:szCs w:val="24"/>
        </w:rPr>
        <w:t>Ņemot vērā iepriekš minēto, FKTK pauž viedokli, ka tad, ja ārpusbiržas atvasināt</w:t>
      </w:r>
      <w:r w:rsidR="004E0CA9">
        <w:rPr>
          <w:szCs w:val="24"/>
        </w:rPr>
        <w:t>aj</w:t>
      </w:r>
      <w:r w:rsidRPr="004012B5">
        <w:rPr>
          <w:szCs w:val="24"/>
        </w:rPr>
        <w:t>iem finanšu instrumentiem nav aizpildīts Regulas Nr. 2017/585 pielikuma 3. tabulas 1. lauks "Instrumenta identifikācijas kods" (</w:t>
      </w:r>
      <w:r w:rsidRPr="004012B5">
        <w:rPr>
          <w:i/>
          <w:szCs w:val="24"/>
        </w:rPr>
        <w:t>ISIN</w:t>
      </w:r>
      <w:r w:rsidRPr="004012B5">
        <w:rPr>
          <w:szCs w:val="24"/>
        </w:rPr>
        <w:t>), šie instrumenti nav uzskatāmi par tirdzniecības vietā tirgotiem finanšu instrumentiem.</w:t>
      </w:r>
    </w:p>
    <w:p w:rsidR="00756B9B" w:rsidRPr="004012B5" w:rsidRDefault="00756B9B" w:rsidP="00756B9B">
      <w:pPr>
        <w:rPr>
          <w:szCs w:val="24"/>
        </w:rPr>
      </w:pPr>
    </w:p>
    <w:p w:rsidR="00756B9B" w:rsidRPr="004012B5" w:rsidRDefault="004012B5" w:rsidP="00756B9B">
      <w:pPr>
        <w:rPr>
          <w:b/>
          <w:szCs w:val="24"/>
        </w:rPr>
      </w:pPr>
      <w:r>
        <w:rPr>
          <w:b/>
          <w:szCs w:val="24"/>
        </w:rPr>
        <w:t>1</w:t>
      </w:r>
      <w:r w:rsidR="003008B6">
        <w:rPr>
          <w:b/>
          <w:szCs w:val="24"/>
        </w:rPr>
        <w:t>4</w:t>
      </w:r>
      <w:r w:rsidR="00756B9B" w:rsidRPr="004012B5">
        <w:rPr>
          <w:b/>
          <w:szCs w:val="24"/>
        </w:rPr>
        <w:t xml:space="preserve">. </w:t>
      </w:r>
      <w:r w:rsidR="00756B9B" w:rsidRPr="004012B5">
        <w:rPr>
          <w:b/>
          <w:szCs w:val="24"/>
          <w:u w:val="single"/>
        </w:rPr>
        <w:t>jautājums</w:t>
      </w:r>
      <w:r w:rsidR="00756B9B" w:rsidRPr="004012B5">
        <w:rPr>
          <w:b/>
          <w:szCs w:val="24"/>
        </w:rPr>
        <w:t xml:space="preserve">: Vai </w:t>
      </w:r>
      <w:r w:rsidR="00F24202">
        <w:rPr>
          <w:b/>
          <w:szCs w:val="24"/>
        </w:rPr>
        <w:t>saskaņā ar</w:t>
      </w:r>
      <w:r w:rsidR="00F24202" w:rsidRPr="004012B5">
        <w:rPr>
          <w:b/>
          <w:szCs w:val="24"/>
        </w:rPr>
        <w:t xml:space="preserve"> </w:t>
      </w:r>
      <w:r w:rsidR="00756B9B" w:rsidRPr="004012B5">
        <w:rPr>
          <w:b/>
          <w:szCs w:val="24"/>
        </w:rPr>
        <w:t>Regulu Nr. 2017/590 kredītiestādei ir pienākums ziņot FKTK par darījumiem, kas saistīti ar vērtspapīru notikumiem, un, ja ir, tad – kuros gadījumos?</w:t>
      </w:r>
    </w:p>
    <w:p w:rsidR="00756B9B" w:rsidRPr="004012B5" w:rsidRDefault="00756B9B" w:rsidP="00756B9B">
      <w:pPr>
        <w:rPr>
          <w:szCs w:val="24"/>
        </w:rPr>
      </w:pPr>
    </w:p>
    <w:p w:rsidR="00756B9B" w:rsidRPr="004012B5" w:rsidRDefault="00756B9B" w:rsidP="00756B9B">
      <w:pPr>
        <w:rPr>
          <w:szCs w:val="24"/>
        </w:rPr>
      </w:pPr>
      <w:r w:rsidRPr="004012B5">
        <w:rPr>
          <w:b/>
          <w:szCs w:val="24"/>
          <w:u w:val="single"/>
        </w:rPr>
        <w:t>Atbilde</w:t>
      </w:r>
      <w:r w:rsidRPr="004012B5">
        <w:rPr>
          <w:b/>
          <w:szCs w:val="24"/>
        </w:rPr>
        <w:t xml:space="preserve">: </w:t>
      </w:r>
      <w:r w:rsidRPr="004012B5">
        <w:rPr>
          <w:szCs w:val="24"/>
        </w:rPr>
        <w:t xml:space="preserve">FKTK iesaka iepazīties ar Pamatnostādņu 5.6.2.7. iedaļā minēto par ziņošanas izņēmumiem saistībā ar Regulas Nr. 2017/590 2. panta 5. punkta i) apakšpunktu, kas nosaka, ka par darījumu </w:t>
      </w:r>
      <w:proofErr w:type="spellStart"/>
      <w:r w:rsidR="00447AA0" w:rsidRPr="004012B5">
        <w:rPr>
          <w:szCs w:val="24"/>
        </w:rPr>
        <w:t>MiFIR</w:t>
      </w:r>
      <w:proofErr w:type="spellEnd"/>
      <w:r w:rsidR="00447AA0" w:rsidRPr="004012B5">
        <w:rPr>
          <w:szCs w:val="24"/>
        </w:rPr>
        <w:t xml:space="preserve"> regulas </w:t>
      </w:r>
      <w:r w:rsidRPr="004012B5">
        <w:rPr>
          <w:szCs w:val="24"/>
        </w:rPr>
        <w:t xml:space="preserve">26. panta izpratnē neuzskata finanšu instrumenta izveidi, izbeigšanu vai izpirkšanu iepriekš noteiktu līguma noteikumu rezultātā vai tādu obligātu pasākumu rezultātā, ko ieguldītājs nevar kontrolēt, </w:t>
      </w:r>
      <w:r w:rsidRPr="0063448E">
        <w:rPr>
          <w:szCs w:val="24"/>
        </w:rPr>
        <w:t>ja ieguldītājs</w:t>
      </w:r>
      <w:r w:rsidRPr="004012B5">
        <w:rPr>
          <w:szCs w:val="24"/>
        </w:rPr>
        <w:t xml:space="preserve"> nepieņem nekādu lēmumu par ieguldījumu finanšu instrumenta izveides, izbeigšanas vai izpirkšanas brīdī.</w:t>
      </w:r>
    </w:p>
    <w:p w:rsidR="00756B9B" w:rsidRPr="004012B5" w:rsidRDefault="00756B9B" w:rsidP="00756B9B">
      <w:pPr>
        <w:rPr>
          <w:szCs w:val="24"/>
        </w:rPr>
      </w:pPr>
    </w:p>
    <w:p w:rsidR="00756B9B" w:rsidRPr="004012B5" w:rsidRDefault="00756B9B" w:rsidP="00756B9B">
      <w:pPr>
        <w:rPr>
          <w:szCs w:val="24"/>
        </w:rPr>
      </w:pPr>
      <w:r w:rsidRPr="004012B5">
        <w:rPr>
          <w:szCs w:val="24"/>
        </w:rPr>
        <w:t>Tādējādi jāziņo par tiem darījumiem, kas saistīti ar vērtspapīru notikumiem, kad finanšu instrumentu izveides, izbeigšan</w:t>
      </w:r>
      <w:r w:rsidR="00DD07A3">
        <w:rPr>
          <w:szCs w:val="24"/>
        </w:rPr>
        <w:t>a</w:t>
      </w:r>
      <w:r w:rsidRPr="004012B5">
        <w:rPr>
          <w:szCs w:val="24"/>
        </w:rPr>
        <w:t>s vai atpakaļpirkšanas brīdī ieguldītājs pieņem kādu lēmumu, piemēram, gadījumā, kad klients izlemj saņemt naudu vai instrumentus uzņēmuma pārņemšanas piedāvājumā, vai gadījumā, kad emitents var izvēlēties, vai veikt piegādi naudā vai finanšu instrumentos.</w:t>
      </w:r>
    </w:p>
    <w:p w:rsidR="00756B9B" w:rsidRPr="004012B5" w:rsidRDefault="00756B9B" w:rsidP="00756B9B">
      <w:pPr>
        <w:rPr>
          <w:szCs w:val="24"/>
        </w:rPr>
      </w:pPr>
    </w:p>
    <w:p w:rsidR="00756B9B" w:rsidRDefault="00756B9B" w:rsidP="00756B9B">
      <w:pPr>
        <w:rPr>
          <w:szCs w:val="24"/>
        </w:rPr>
      </w:pPr>
      <w:r w:rsidRPr="004012B5">
        <w:rPr>
          <w:szCs w:val="24"/>
        </w:rPr>
        <w:t>FKTK vērš uzmanību, ka gadījumā, ja Regulas Nr. 2017/590 2. panta 5. punkta i) apakšpunktā minētās darbības tiek veiktas saistībā ar sākotnējiem publiskajiem piedāvājumiem, sekundārajiem publiskajiem piedāvājumiem vai parāda vērtspapīru emisiju, par šīm darbībām ir jāziņo.</w:t>
      </w:r>
    </w:p>
    <w:p w:rsidR="00BB1713" w:rsidRPr="004012B5" w:rsidRDefault="00BB1713" w:rsidP="00756B9B">
      <w:pPr>
        <w:rPr>
          <w:szCs w:val="24"/>
        </w:rPr>
      </w:pPr>
    </w:p>
    <w:p w:rsidR="00756B9B" w:rsidRPr="004012B5" w:rsidRDefault="004012B5" w:rsidP="00756B9B">
      <w:pPr>
        <w:rPr>
          <w:b/>
          <w:szCs w:val="24"/>
        </w:rPr>
      </w:pPr>
      <w:r>
        <w:rPr>
          <w:b/>
          <w:szCs w:val="24"/>
        </w:rPr>
        <w:t>1</w:t>
      </w:r>
      <w:r w:rsidR="003008B6">
        <w:rPr>
          <w:b/>
          <w:szCs w:val="24"/>
        </w:rPr>
        <w:t>5</w:t>
      </w:r>
      <w:r w:rsidR="00756B9B" w:rsidRPr="004012B5">
        <w:rPr>
          <w:b/>
          <w:szCs w:val="24"/>
        </w:rPr>
        <w:t xml:space="preserve">. </w:t>
      </w:r>
      <w:r w:rsidR="00756B9B" w:rsidRPr="004012B5">
        <w:rPr>
          <w:b/>
          <w:szCs w:val="24"/>
          <w:u w:val="single"/>
        </w:rPr>
        <w:t>jautājums</w:t>
      </w:r>
      <w:r w:rsidR="00756B9B" w:rsidRPr="004012B5">
        <w:rPr>
          <w:b/>
          <w:szCs w:val="24"/>
        </w:rPr>
        <w:t>: Beznaudas vērtspapīru pārvedumu atskaitē jānorāda tirdzniecības laiks (</w:t>
      </w:r>
      <w:proofErr w:type="spellStart"/>
      <w:r w:rsidR="00756B9B" w:rsidRPr="004012B5">
        <w:rPr>
          <w:b/>
          <w:i/>
          <w:szCs w:val="24"/>
        </w:rPr>
        <w:t>trading</w:t>
      </w:r>
      <w:proofErr w:type="spellEnd"/>
      <w:r w:rsidR="00756B9B" w:rsidRPr="004012B5">
        <w:rPr>
          <w:b/>
          <w:i/>
          <w:szCs w:val="24"/>
        </w:rPr>
        <w:t xml:space="preserve"> </w:t>
      </w:r>
      <w:proofErr w:type="spellStart"/>
      <w:r w:rsidR="00756B9B" w:rsidRPr="004012B5">
        <w:rPr>
          <w:b/>
          <w:i/>
          <w:szCs w:val="24"/>
        </w:rPr>
        <w:t>date</w:t>
      </w:r>
      <w:proofErr w:type="spellEnd"/>
      <w:r w:rsidR="00756B9B" w:rsidRPr="004012B5">
        <w:rPr>
          <w:b/>
          <w:i/>
          <w:szCs w:val="24"/>
        </w:rPr>
        <w:t xml:space="preserve"> </w:t>
      </w:r>
      <w:proofErr w:type="spellStart"/>
      <w:r w:rsidR="00756B9B" w:rsidRPr="004012B5">
        <w:rPr>
          <w:b/>
          <w:i/>
          <w:szCs w:val="24"/>
        </w:rPr>
        <w:t>time</w:t>
      </w:r>
      <w:proofErr w:type="spellEnd"/>
      <w:r w:rsidR="00756B9B" w:rsidRPr="004012B5">
        <w:rPr>
          <w:b/>
          <w:szCs w:val="24"/>
        </w:rPr>
        <w:t xml:space="preserve">). Kurā brīdī ir jāfiksē laiks – instrukciju konta </w:t>
      </w:r>
      <w:proofErr w:type="spellStart"/>
      <w:r w:rsidR="00756B9B" w:rsidRPr="004012B5">
        <w:rPr>
          <w:b/>
          <w:szCs w:val="24"/>
        </w:rPr>
        <w:t>turētājkompānijai</w:t>
      </w:r>
      <w:proofErr w:type="spellEnd"/>
      <w:r w:rsidR="00756B9B" w:rsidRPr="004012B5">
        <w:rPr>
          <w:b/>
          <w:szCs w:val="24"/>
        </w:rPr>
        <w:t xml:space="preserve"> nosūtīšanas brīdī, instrukciju akcepta ziņojuma saņemšanas brīdī vai ziņojuma par darījuma norēķiniem saņemšanas brīdī (</w:t>
      </w:r>
      <w:r w:rsidR="00756B9B" w:rsidRPr="004012B5">
        <w:rPr>
          <w:b/>
          <w:i/>
          <w:szCs w:val="24"/>
        </w:rPr>
        <w:t xml:space="preserve">FOP </w:t>
      </w:r>
      <w:proofErr w:type="spellStart"/>
      <w:r w:rsidR="00756B9B" w:rsidRPr="004012B5">
        <w:rPr>
          <w:b/>
          <w:i/>
          <w:szCs w:val="24"/>
        </w:rPr>
        <w:t>setllement</w:t>
      </w:r>
      <w:proofErr w:type="spellEnd"/>
      <w:r w:rsidR="00756B9B" w:rsidRPr="004012B5">
        <w:rPr>
          <w:b/>
          <w:szCs w:val="24"/>
        </w:rPr>
        <w:t>)?</w:t>
      </w:r>
    </w:p>
    <w:p w:rsidR="00756B9B" w:rsidRPr="004012B5" w:rsidRDefault="00756B9B" w:rsidP="00756B9B">
      <w:pPr>
        <w:rPr>
          <w:szCs w:val="24"/>
        </w:rPr>
      </w:pPr>
    </w:p>
    <w:p w:rsidR="00756B9B" w:rsidRPr="004012B5" w:rsidRDefault="00756B9B" w:rsidP="00756B9B">
      <w:pPr>
        <w:rPr>
          <w:szCs w:val="24"/>
        </w:rPr>
      </w:pPr>
      <w:r w:rsidRPr="004012B5">
        <w:rPr>
          <w:b/>
          <w:szCs w:val="24"/>
          <w:u w:val="single"/>
        </w:rPr>
        <w:t>Atbilde</w:t>
      </w:r>
      <w:r w:rsidRPr="004012B5">
        <w:rPr>
          <w:b/>
          <w:szCs w:val="24"/>
        </w:rPr>
        <w:t xml:space="preserve">: </w:t>
      </w:r>
      <w:r w:rsidRPr="004012B5">
        <w:rPr>
          <w:szCs w:val="24"/>
        </w:rPr>
        <w:t xml:space="preserve">FKTK vērš uzmanību uz Pamatnostādņu 5.20.2. iedaļā publicēto 50. piemēru, kurā attēlota ziņojumu lauku aizpildīšana, kad tiek veikts finanšu instrumentu beznaudas pārvedums starp divu dažādu ieguldījumu brokeru sabiedrību vai kredītiestāžu klientiem. Šajā gadījumā jānorāda laiks, kad abas ieguldījumu brokeru sabiedrības vai kredītiestādes veic pārvedumu, turklāt šis laiks var atšķirties abu sabiedrību ziņojumos. </w:t>
      </w:r>
    </w:p>
    <w:p w:rsidR="00756B9B" w:rsidRPr="004012B5" w:rsidRDefault="00756B9B" w:rsidP="00756B9B">
      <w:pPr>
        <w:rPr>
          <w:szCs w:val="24"/>
        </w:rPr>
      </w:pPr>
    </w:p>
    <w:p w:rsidR="00541CF7" w:rsidRPr="00FC249A" w:rsidRDefault="00756B9B" w:rsidP="00FC249A">
      <w:pPr>
        <w:rPr>
          <w:szCs w:val="24"/>
        </w:rPr>
      </w:pPr>
      <w:r w:rsidRPr="004012B5">
        <w:rPr>
          <w:szCs w:val="24"/>
        </w:rPr>
        <w:t>FKTK ieskatā šajā gadījumā darījuma ziņojumā kā darījuma laiks varētu tikt norādīts laiks, kad tiek saņemts akcepta ziņojums.</w:t>
      </w:r>
    </w:p>
    <w:sectPr w:rsidR="00541CF7" w:rsidRPr="00FC249A" w:rsidSect="004E3100">
      <w:headerReference w:type="even" r:id="rId12"/>
      <w:headerReference w:type="default" r:id="rId13"/>
      <w:footerReference w:type="default" r:id="rId14"/>
      <w:headerReference w:type="first" r:id="rId15"/>
      <w:footerReference w:type="first" r:id="rId16"/>
      <w:pgSz w:w="11907" w:h="16840" w:code="9"/>
      <w:pgMar w:top="1134" w:right="1418" w:bottom="709" w:left="1418" w:header="567"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9B" w:rsidRDefault="00C8049B">
      <w:r>
        <w:separator/>
      </w:r>
    </w:p>
  </w:endnote>
  <w:endnote w:type="continuationSeparator" w:id="0">
    <w:p w:rsidR="00C8049B" w:rsidRDefault="00C8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F2" w:rsidRDefault="007D65F2" w:rsidP="009C5CEA">
    <w:pPr>
      <w:pStyle w:val="Footer"/>
      <w:jc w:val="right"/>
      <w:rPr>
        <w:noProof/>
      </w:rPr>
    </w:pPr>
    <w:r w:rsidRPr="009C5CEA">
      <w:fldChar w:fldCharType="begin"/>
    </w:r>
    <w:r w:rsidRPr="009C5CEA">
      <w:instrText xml:space="preserve"> PAGE  \* Arabic  \* MERGEFORMAT </w:instrText>
    </w:r>
    <w:r w:rsidRPr="009C5CEA">
      <w:fldChar w:fldCharType="separate"/>
    </w:r>
    <w:r w:rsidR="00946501">
      <w:rPr>
        <w:noProof/>
      </w:rPr>
      <w:t>6</w:t>
    </w:r>
    <w:r w:rsidRPr="009C5CEA">
      <w:fldChar w:fldCharType="end"/>
    </w:r>
    <w:r w:rsidRPr="00271D92">
      <w:t>-</w:t>
    </w:r>
    <w:fldSimple w:instr=" NUMPAGES  \* Arabic  \* MERGEFORMAT ">
      <w:r w:rsidR="00946501">
        <w:rPr>
          <w:noProof/>
        </w:rPr>
        <w:t>7</w:t>
      </w:r>
    </w:fldSimple>
  </w:p>
  <w:p w:rsidR="004E0CA9" w:rsidRPr="00271D92" w:rsidRDefault="004E0CA9" w:rsidP="009C5CE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F2" w:rsidRPr="00271D92" w:rsidRDefault="007D65F2" w:rsidP="009C5CEA">
    <w:pPr>
      <w:pStyle w:val="Footer"/>
      <w:jc w:val="right"/>
    </w:pPr>
    <w:r w:rsidRPr="003B2EB0">
      <w:fldChar w:fldCharType="begin"/>
    </w:r>
    <w:r w:rsidRPr="009C5CEA">
      <w:instrText xml:space="preserve"> PAGE  \* Arabic  \* MERGEFORMAT </w:instrText>
    </w:r>
    <w:r w:rsidRPr="003B2EB0">
      <w:fldChar w:fldCharType="separate"/>
    </w:r>
    <w:r w:rsidR="00946501">
      <w:rPr>
        <w:noProof/>
      </w:rPr>
      <w:t>1</w:t>
    </w:r>
    <w:r w:rsidRPr="003B2EB0">
      <w:fldChar w:fldCharType="end"/>
    </w:r>
    <w:r w:rsidRPr="009C5CEA">
      <w:t>-</w:t>
    </w:r>
    <w:fldSimple w:instr=" NUMPAGES  \* Arabic  \* MERGEFORMAT ">
      <w:r w:rsidR="00946501">
        <w:rPr>
          <w:noProof/>
        </w:rPr>
        <w:t>7</w:t>
      </w:r>
    </w:fldSimple>
  </w:p>
  <w:p w:rsidR="007D65F2" w:rsidRDefault="007D65F2">
    <w:pPr>
      <w:pStyle w:val="Footer"/>
      <w:jc w:val="center"/>
      <w:rPr>
        <w:rFonts w:ascii="Arial" w:hAnsi="Arial"/>
        <w:spacing w:val="-12"/>
        <w:sz w:val="4"/>
      </w:rPr>
    </w:pPr>
  </w:p>
  <w:p w:rsidR="007D65F2" w:rsidRDefault="007D65F2" w:rsidP="00BA4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9B" w:rsidRDefault="00C8049B">
      <w:r>
        <w:separator/>
      </w:r>
    </w:p>
  </w:footnote>
  <w:footnote w:type="continuationSeparator" w:id="0">
    <w:p w:rsidR="00C8049B" w:rsidRDefault="00C8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F2" w:rsidRDefault="007D65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65F2" w:rsidRDefault="007D65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F2" w:rsidRDefault="007D65F2">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F2" w:rsidRDefault="007D65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16045C"/>
    <w:lvl w:ilvl="0">
      <w:start w:val="1"/>
      <w:numFmt w:val="decimal"/>
      <w:suff w:val="space"/>
      <w:lvlText w:val="%1."/>
      <w:lvlJc w:val="left"/>
      <w:rPr>
        <w:rFonts w:ascii="Times New Roman" w:hAnsi="Times New Roman" w:cs="Times New Roman" w:hint="default"/>
        <w:sz w:val="24"/>
      </w:rPr>
    </w:lvl>
    <w:lvl w:ilvl="1">
      <w:start w:val="1"/>
      <w:numFmt w:val="decimal"/>
      <w:pStyle w:val="Heading2"/>
      <w:suff w:val="space"/>
      <w:lvlText w:val="%1.%2."/>
      <w:lvlJc w:val="left"/>
      <w:rPr>
        <w:rFonts w:ascii="Times New Roman" w:hAnsi="Times New Roman" w:cs="Times New Roman" w:hint="default"/>
        <w:b w:val="0"/>
        <w:i w:val="0"/>
        <w:sz w:val="24"/>
      </w:rPr>
    </w:lvl>
    <w:lvl w:ilvl="2">
      <w:start w:val="1"/>
      <w:numFmt w:val="decimal"/>
      <w:pStyle w:val="Heading3"/>
      <w:suff w:val="space"/>
      <w:lvlText w:val="%1.%2.%3."/>
      <w:lvlJc w:val="left"/>
      <w:rPr>
        <w:rFonts w:ascii="Times New Roman" w:hAnsi="Times New Roman" w:cs="Times New Roman" w:hint="default"/>
        <w:b w:val="0"/>
        <w:i w:val="0"/>
        <w:sz w:val="24"/>
      </w:rPr>
    </w:lvl>
    <w:lvl w:ilvl="3">
      <w:start w:val="1"/>
      <w:numFmt w:val="decimal"/>
      <w:suff w:val="space"/>
      <w:lvlText w:val="%1.%2.%3.%4."/>
      <w:lvlJc w:val="left"/>
      <w:rPr>
        <w:rFonts w:ascii="Times New Roman" w:hAnsi="Times New Roman" w:cs="Times New Roman" w:hint="default"/>
        <w:b w:val="0"/>
        <w:i w:val="0"/>
        <w:sz w:val="24"/>
      </w:rPr>
    </w:lvl>
    <w:lvl w:ilvl="4">
      <w:start w:val="1"/>
      <w:numFmt w:val="decimal"/>
      <w:pStyle w:val="Heading5"/>
      <w:suff w:val="space"/>
      <w:lvlText w:val="%1.%2.%3.%4.%5."/>
      <w:lvlJc w:val="left"/>
      <w:rPr>
        <w:rFonts w:ascii="Times New Roman" w:hAnsi="Times New Roman" w:cs="Times New Roman" w:hint="default"/>
        <w:b w:val="0"/>
        <w:i w:val="0"/>
        <w:sz w:val="22"/>
      </w:rPr>
    </w:lvl>
    <w:lvl w:ilvl="5">
      <w:start w:val="1"/>
      <w:numFmt w:val="decimal"/>
      <w:pStyle w:val="Heading6"/>
      <w:suff w:val="space"/>
      <w:lvlText w:val="%1.%2.%3.%4.%5.%6."/>
      <w:lvlJc w:val="left"/>
      <w:rPr>
        <w:rFonts w:ascii="Times New Roman" w:hAnsi="Times New Roman" w:cs="Times New Roman" w:hint="default"/>
        <w:b w:val="0"/>
        <w:i w:val="0"/>
        <w:sz w:val="22"/>
      </w:rPr>
    </w:lvl>
    <w:lvl w:ilvl="6">
      <w:start w:val="1"/>
      <w:numFmt w:val="decimal"/>
      <w:pStyle w:val="Heading7"/>
      <w:suff w:val="space"/>
      <w:lvlText w:val="%1.%2.%3.%4.%5.%6.%7."/>
      <w:lvlJc w:val="left"/>
      <w:rPr>
        <w:rFonts w:ascii="Times New Roman" w:hAnsi="Times New Roman" w:cs="Times New Roman" w:hint="default"/>
        <w:b w:val="0"/>
        <w:i w:val="0"/>
        <w:sz w:val="22"/>
      </w:rPr>
    </w:lvl>
    <w:lvl w:ilvl="7">
      <w:start w:val="1"/>
      <w:numFmt w:val="decimal"/>
      <w:pStyle w:val="Heading8"/>
      <w:suff w:val="space"/>
      <w:lvlText w:val="%1.%2.%3.%4.%5.%6.%7.%8."/>
      <w:lvlJc w:val="left"/>
      <w:rPr>
        <w:rFonts w:ascii="Times New Roman" w:hAnsi="Times New Roman" w:cs="Times New Roman" w:hint="default"/>
        <w:b w:val="0"/>
        <w:i w:val="0"/>
        <w:sz w:val="22"/>
      </w:rPr>
    </w:lvl>
    <w:lvl w:ilvl="8">
      <w:start w:val="1"/>
      <w:numFmt w:val="decimal"/>
      <w:pStyle w:val="Heading9"/>
      <w:suff w:val="space"/>
      <w:lvlText w:val="%1.%2.%3.%4.%5.%6.%7.%8.%9."/>
      <w:lvlJc w:val="left"/>
      <w:rPr>
        <w:rFonts w:ascii="Times New Roman" w:hAnsi="Times New Roman" w:cs="Times New Roman" w:hint="default"/>
        <w:b w:val="0"/>
        <w:i w:val="0"/>
        <w:sz w:val="22"/>
      </w:rPr>
    </w:lvl>
  </w:abstractNum>
  <w:abstractNum w:abstractNumId="1">
    <w:nsid w:val="00BB320A"/>
    <w:multiLevelType w:val="hybridMultilevel"/>
    <w:tmpl w:val="050A9F0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283CD0"/>
    <w:multiLevelType w:val="hybridMultilevel"/>
    <w:tmpl w:val="55A63690"/>
    <w:lvl w:ilvl="0" w:tplc="06BCBC4A">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nsid w:val="04642ECC"/>
    <w:multiLevelType w:val="hybridMultilevel"/>
    <w:tmpl w:val="25E0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E4E99"/>
    <w:multiLevelType w:val="hybridMultilevel"/>
    <w:tmpl w:val="1D4AE62A"/>
    <w:lvl w:ilvl="0" w:tplc="F322DF24">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0AE65C32"/>
    <w:multiLevelType w:val="hybridMultilevel"/>
    <w:tmpl w:val="53A2EF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17E32D1"/>
    <w:multiLevelType w:val="multilevel"/>
    <w:tmpl w:val="F3EA10F8"/>
    <w:lvl w:ilvl="0">
      <w:start w:val="1"/>
      <w:numFmt w:val="decimal"/>
      <w:suff w:val="space"/>
      <w:lvlText w:val="%1."/>
      <w:lvlJc w:val="left"/>
      <w:rPr>
        <w:rFonts w:ascii="Times New Roman" w:hAnsi="Times New Roman" w:cs="Times New Roman" w:hint="default"/>
        <w:b w:val="0"/>
        <w:i w:val="0"/>
        <w:sz w:val="24"/>
      </w:rPr>
    </w:lvl>
    <w:lvl w:ilvl="1">
      <w:start w:val="1"/>
      <w:numFmt w:val="decimal"/>
      <w:isLgl/>
      <w:suff w:val="space"/>
      <w:lvlText w:val="%1.%2."/>
      <w:lvlJc w:val="left"/>
      <w:rPr>
        <w:rFonts w:ascii="Times New Roman" w:hAnsi="Times New Roman" w:cs="Times New Roman" w:hint="default"/>
        <w:b w:val="0"/>
        <w:i w:val="0"/>
        <w:sz w:val="24"/>
      </w:rPr>
    </w:lvl>
    <w:lvl w:ilvl="2">
      <w:start w:val="1"/>
      <w:numFmt w:val="decimal"/>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13305C8E"/>
    <w:multiLevelType w:val="hybridMultilevel"/>
    <w:tmpl w:val="CD0CF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703182"/>
    <w:multiLevelType w:val="hybridMultilevel"/>
    <w:tmpl w:val="46EEA31A"/>
    <w:lvl w:ilvl="0" w:tplc="9BD47F0E">
      <w:start w:val="5"/>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4FF26E0"/>
    <w:multiLevelType w:val="hybridMultilevel"/>
    <w:tmpl w:val="4F942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BF1240"/>
    <w:multiLevelType w:val="hybridMultilevel"/>
    <w:tmpl w:val="84DC7D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A2777F"/>
    <w:multiLevelType w:val="hybridMultilevel"/>
    <w:tmpl w:val="B4746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55F2C"/>
    <w:multiLevelType w:val="multilevel"/>
    <w:tmpl w:val="8FC88E8E"/>
    <w:lvl w:ilvl="0">
      <w:start w:val="1"/>
      <w:numFmt w:val="decimal"/>
      <w:pStyle w:val="TekstsN1"/>
      <w:suff w:val="space"/>
      <w:lvlText w:val="%1."/>
      <w:lvlJc w:val="left"/>
      <w:rPr>
        <w:rFonts w:ascii="Times New Roman" w:hAnsi="Times New Roman" w:cs="Times New Roman" w:hint="default"/>
        <w:b w:val="0"/>
        <w:i w:val="0"/>
        <w:sz w:val="24"/>
      </w:rPr>
    </w:lvl>
    <w:lvl w:ilvl="1">
      <w:start w:val="1"/>
      <w:numFmt w:val="decimal"/>
      <w:pStyle w:val="TekstsN2"/>
      <w:isLgl/>
      <w:suff w:val="space"/>
      <w:lvlText w:val="%1.%2."/>
      <w:lvlJc w:val="left"/>
      <w:rPr>
        <w:rFonts w:ascii="Times New Roman" w:hAnsi="Times New Roman" w:cs="Times New Roman" w:hint="default"/>
        <w:b w:val="0"/>
        <w:i w:val="0"/>
        <w:sz w:val="24"/>
      </w:rPr>
    </w:lvl>
    <w:lvl w:ilvl="2">
      <w:start w:val="1"/>
      <w:numFmt w:val="decimal"/>
      <w:pStyle w:val="TekstsN3"/>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31030792"/>
    <w:multiLevelType w:val="hybridMultilevel"/>
    <w:tmpl w:val="697898FE"/>
    <w:lvl w:ilvl="0" w:tplc="9BD47F0E">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54E2D16"/>
    <w:multiLevelType w:val="multilevel"/>
    <w:tmpl w:val="7F5EC6AE"/>
    <w:lvl w:ilvl="0">
      <w:start w:val="1"/>
      <w:numFmt w:val="decimal"/>
      <w:suff w:val="space"/>
      <w:lvlText w:val="%1."/>
      <w:lvlJc w:val="left"/>
      <w:rPr>
        <w:rFonts w:ascii="Teutonica" w:hAnsi="Teutonica" w:cs="Times New Roman" w:hint="default"/>
        <w:b w:val="0"/>
        <w:i w:val="0"/>
        <w:sz w:val="24"/>
      </w:rPr>
    </w:lvl>
    <w:lvl w:ilvl="1">
      <w:start w:val="1"/>
      <w:numFmt w:val="decimal"/>
      <w:suff w:val="space"/>
      <w:lvlText w:val="%1.%2."/>
      <w:lvlJc w:val="left"/>
      <w:rPr>
        <w:rFonts w:ascii="Teutonica" w:hAnsi="Teutonica" w:cs="Times New Roman" w:hint="default"/>
        <w:sz w:val="24"/>
      </w:rPr>
    </w:lvl>
    <w:lvl w:ilvl="2">
      <w:start w:val="1"/>
      <w:numFmt w:val="decimal"/>
      <w:suff w:val="space"/>
      <w:lvlText w:val="%1.%2.%3."/>
      <w:lvlJc w:val="left"/>
      <w:rPr>
        <w:rFonts w:ascii="Teutonica" w:hAnsi="Teutonica" w:cs="Times New Roman" w:hint="default"/>
        <w:sz w:val="24"/>
      </w:rPr>
    </w:lvl>
    <w:lvl w:ilvl="3">
      <w:start w:val="1"/>
      <w:numFmt w:val="decimal"/>
      <w:suff w:val="space"/>
      <w:lvlText w:val="%1.%2.%3.%4."/>
      <w:lvlJc w:val="left"/>
      <w:rPr>
        <w:rFonts w:ascii="Teutonica" w:hAnsi="Teutonica" w:cs="Times New Roman" w:hint="default"/>
        <w:sz w:val="24"/>
      </w:rPr>
    </w:lvl>
    <w:lvl w:ilvl="4">
      <w:start w:val="1"/>
      <w:numFmt w:val="decimal"/>
      <w:suff w:val="space"/>
      <w:lvlText w:val="%1.%2.%3.%4.%5."/>
      <w:lvlJc w:val="left"/>
      <w:rPr>
        <w:rFonts w:ascii="Teutonica" w:hAnsi="Teutonica" w:cs="Times New Roman" w:hint="default"/>
        <w:sz w:val="24"/>
      </w:rPr>
    </w:lvl>
    <w:lvl w:ilvl="5">
      <w:start w:val="1"/>
      <w:numFmt w:val="decimal"/>
      <w:suff w:val="space"/>
      <w:lvlText w:val="%1.%2.%3.%4.%5.%6."/>
      <w:lvlJc w:val="left"/>
      <w:rPr>
        <w:rFonts w:ascii="Teutonica" w:hAnsi="Teutonica" w:cs="Times New Roman" w:hint="default"/>
        <w:sz w:val="24"/>
      </w:rPr>
    </w:lvl>
    <w:lvl w:ilvl="6">
      <w:start w:val="1"/>
      <w:numFmt w:val="decimal"/>
      <w:suff w:val="space"/>
      <w:lvlText w:val="%1.%2.%3.%4.%5.%6.%7."/>
      <w:lvlJc w:val="left"/>
      <w:rPr>
        <w:rFonts w:ascii="Teutonica" w:hAnsi="Teutonica" w:cs="Times New Roman" w:hint="default"/>
        <w:sz w:val="24"/>
      </w:rPr>
    </w:lvl>
    <w:lvl w:ilvl="7">
      <w:start w:val="1"/>
      <w:numFmt w:val="decimal"/>
      <w:suff w:val="space"/>
      <w:lvlText w:val="%1.%2.%3.%4.%5.%6.%7.%8."/>
      <w:lvlJc w:val="left"/>
      <w:rPr>
        <w:rFonts w:ascii="Teutonica" w:hAnsi="Teutonica" w:cs="Times New Roman" w:hint="default"/>
        <w:sz w:val="24"/>
      </w:rPr>
    </w:lvl>
    <w:lvl w:ilvl="8">
      <w:start w:val="1"/>
      <w:numFmt w:val="decimal"/>
      <w:suff w:val="space"/>
      <w:lvlText w:val="%1.%2.%3.%4.%5.%6.%7.%8.%9."/>
      <w:lvlJc w:val="left"/>
      <w:rPr>
        <w:rFonts w:ascii="Teutonica" w:hAnsi="Teutonica" w:cs="Times New Roman" w:hint="default"/>
        <w:sz w:val="24"/>
      </w:rPr>
    </w:lvl>
  </w:abstractNum>
  <w:abstractNum w:abstractNumId="15">
    <w:nsid w:val="38A30F33"/>
    <w:multiLevelType w:val="hybridMultilevel"/>
    <w:tmpl w:val="33EC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22A5A"/>
    <w:multiLevelType w:val="hybridMultilevel"/>
    <w:tmpl w:val="0BF63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4B0632"/>
    <w:multiLevelType w:val="hybridMultilevel"/>
    <w:tmpl w:val="A2040BA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51784062"/>
    <w:multiLevelType w:val="hybridMultilevel"/>
    <w:tmpl w:val="5762E780"/>
    <w:lvl w:ilvl="0" w:tplc="C19E7FE8">
      <w:start w:val="1"/>
      <w:numFmt w:val="bullet"/>
      <w:lvlText w:val="-"/>
      <w:lvlJc w:val="left"/>
      <w:pPr>
        <w:ind w:left="784" w:hanging="360"/>
      </w:pPr>
      <w:rPr>
        <w:rFonts w:ascii="Verdana" w:hAnsi="Verdana"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56B77A2F"/>
    <w:multiLevelType w:val="hybridMultilevel"/>
    <w:tmpl w:val="65307204"/>
    <w:lvl w:ilvl="0" w:tplc="EA4A976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D501B"/>
    <w:multiLevelType w:val="hybridMultilevel"/>
    <w:tmpl w:val="822E9E58"/>
    <w:lvl w:ilvl="0" w:tplc="9BD47F0E">
      <w:start w:val="7"/>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F6E52C3"/>
    <w:multiLevelType w:val="hybridMultilevel"/>
    <w:tmpl w:val="676CF772"/>
    <w:lvl w:ilvl="0" w:tplc="136EA1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543BB"/>
    <w:multiLevelType w:val="hybridMultilevel"/>
    <w:tmpl w:val="820A26AC"/>
    <w:lvl w:ilvl="0" w:tplc="DEEC9FF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1E298B"/>
    <w:multiLevelType w:val="hybridMultilevel"/>
    <w:tmpl w:val="FB44EB7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2BF6BEC"/>
    <w:multiLevelType w:val="hybridMultilevel"/>
    <w:tmpl w:val="CBE81244"/>
    <w:lvl w:ilvl="0" w:tplc="0409000F">
      <w:start w:val="1"/>
      <w:numFmt w:val="decimal"/>
      <w:lvlText w:val="%1."/>
      <w:lvlJc w:val="left"/>
      <w:pPr>
        <w:ind w:left="784" w:hanging="360"/>
      </w:pPr>
      <w:rPr>
        <w:rFonts w:cs="Times New Roman"/>
      </w:rPr>
    </w:lvl>
    <w:lvl w:ilvl="1" w:tplc="04090019">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25">
    <w:nsid w:val="742F78EC"/>
    <w:multiLevelType w:val="hybridMultilevel"/>
    <w:tmpl w:val="82DCA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6B5023"/>
    <w:multiLevelType w:val="hybridMultilevel"/>
    <w:tmpl w:val="242044D2"/>
    <w:lvl w:ilvl="0" w:tplc="9BD47F0E">
      <w:start w:val="5"/>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9341FF0"/>
    <w:multiLevelType w:val="multilevel"/>
    <w:tmpl w:val="42C4A8E6"/>
    <w:lvl w:ilvl="0">
      <w:start w:val="1"/>
      <w:numFmt w:val="decimal"/>
      <w:suff w:val="space"/>
      <w:lvlText w:val="%1."/>
      <w:lvlJc w:val="left"/>
      <w:rPr>
        <w:rFonts w:ascii="Times New Roman" w:hAnsi="Times New Roman" w:cs="Times New Roman" w:hint="default"/>
        <w:b w:val="0"/>
        <w:i w:val="0"/>
        <w:sz w:val="24"/>
      </w:rPr>
    </w:lvl>
    <w:lvl w:ilvl="1">
      <w:start w:val="1"/>
      <w:numFmt w:val="decimal"/>
      <w:isLgl/>
      <w:suff w:val="space"/>
      <w:lvlText w:val="%1.%2."/>
      <w:lvlJc w:val="left"/>
      <w:rPr>
        <w:rFonts w:ascii="Times New Roman" w:hAnsi="Times New Roman" w:cs="Times New Roman" w:hint="default"/>
        <w:b w:val="0"/>
        <w:i w:val="0"/>
        <w:sz w:val="24"/>
      </w:rPr>
    </w:lvl>
    <w:lvl w:ilvl="2">
      <w:start w:val="1"/>
      <w:numFmt w:val="decimal"/>
      <w:isLgl/>
      <w:suff w:val="space"/>
      <w:lvlText w:val="%1.%2.%3."/>
      <w:lvlJc w:val="left"/>
      <w:rPr>
        <w:rFonts w:ascii="Times New Roman" w:hAnsi="Times New Roman" w:cs="Times New Roman" w:hint="default"/>
        <w:b w:val="0"/>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4"/>
  </w:num>
  <w:num w:numId="3">
    <w:abstractNumId w:val="6"/>
  </w:num>
  <w:num w:numId="4">
    <w:abstractNumId w:val="27"/>
  </w:num>
  <w:num w:numId="5">
    <w:abstractNumId w:val="12"/>
  </w:num>
  <w:num w:numId="6">
    <w:abstractNumId w:val="9"/>
  </w:num>
  <w:num w:numId="7">
    <w:abstractNumId w:val="4"/>
  </w:num>
  <w:num w:numId="8">
    <w:abstractNumId w:val="8"/>
  </w:num>
  <w:num w:numId="9">
    <w:abstractNumId w:val="17"/>
  </w:num>
  <w:num w:numId="10">
    <w:abstractNumId w:val="13"/>
  </w:num>
  <w:num w:numId="11">
    <w:abstractNumId w:val="26"/>
  </w:num>
  <w:num w:numId="12">
    <w:abstractNumId w:val="20"/>
  </w:num>
  <w:num w:numId="13">
    <w:abstractNumId w:val="16"/>
  </w:num>
  <w:num w:numId="14">
    <w:abstractNumId w:val="23"/>
  </w:num>
  <w:num w:numId="15">
    <w:abstractNumId w:val="18"/>
  </w:num>
  <w:num w:numId="16">
    <w:abstractNumId w:val="10"/>
  </w:num>
  <w:num w:numId="17">
    <w:abstractNumId w:val="24"/>
  </w:num>
  <w:num w:numId="18">
    <w:abstractNumId w:val="5"/>
  </w:num>
  <w:num w:numId="19">
    <w:abstractNumId w:val="2"/>
  </w:num>
  <w:num w:numId="20">
    <w:abstractNumId w:val="1"/>
  </w:num>
  <w:num w:numId="21">
    <w:abstractNumId w:val="7"/>
  </w:num>
  <w:num w:numId="22">
    <w:abstractNumId w:val="11"/>
  </w:num>
  <w:num w:numId="23">
    <w:abstractNumId w:val="3"/>
  </w:num>
  <w:num w:numId="24">
    <w:abstractNumId w:val="25"/>
  </w:num>
  <w:num w:numId="25">
    <w:abstractNumId w:val="15"/>
  </w:num>
  <w:num w:numId="26">
    <w:abstractNumId w:val="21"/>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05"/>
    <w:rsid w:val="00001741"/>
    <w:rsid w:val="0000382C"/>
    <w:rsid w:val="0001121E"/>
    <w:rsid w:val="00016225"/>
    <w:rsid w:val="0001735D"/>
    <w:rsid w:val="00017B36"/>
    <w:rsid w:val="00022AD8"/>
    <w:rsid w:val="00023481"/>
    <w:rsid w:val="000259FB"/>
    <w:rsid w:val="00026916"/>
    <w:rsid w:val="00026F04"/>
    <w:rsid w:val="000311E8"/>
    <w:rsid w:val="00031FB9"/>
    <w:rsid w:val="000322FA"/>
    <w:rsid w:val="0003278D"/>
    <w:rsid w:val="0003553F"/>
    <w:rsid w:val="0004072A"/>
    <w:rsid w:val="00041477"/>
    <w:rsid w:val="00045A32"/>
    <w:rsid w:val="000472C5"/>
    <w:rsid w:val="00050D5B"/>
    <w:rsid w:val="000520FC"/>
    <w:rsid w:val="00052BD8"/>
    <w:rsid w:val="00056E07"/>
    <w:rsid w:val="0005739F"/>
    <w:rsid w:val="00063E07"/>
    <w:rsid w:val="00064003"/>
    <w:rsid w:val="000763A8"/>
    <w:rsid w:val="000778BB"/>
    <w:rsid w:val="00081C83"/>
    <w:rsid w:val="00085316"/>
    <w:rsid w:val="0008667A"/>
    <w:rsid w:val="0009017B"/>
    <w:rsid w:val="00092BC1"/>
    <w:rsid w:val="00095506"/>
    <w:rsid w:val="00095BBB"/>
    <w:rsid w:val="00096213"/>
    <w:rsid w:val="00097051"/>
    <w:rsid w:val="00097B92"/>
    <w:rsid w:val="000B17F9"/>
    <w:rsid w:val="000C03C8"/>
    <w:rsid w:val="000C5DE8"/>
    <w:rsid w:val="000C6B9F"/>
    <w:rsid w:val="000D1C33"/>
    <w:rsid w:val="000D686C"/>
    <w:rsid w:val="000D6CFD"/>
    <w:rsid w:val="000E5032"/>
    <w:rsid w:val="000E5AD3"/>
    <w:rsid w:val="000F1CFE"/>
    <w:rsid w:val="000F3297"/>
    <w:rsid w:val="000F3CC1"/>
    <w:rsid w:val="000F55A9"/>
    <w:rsid w:val="00101BDA"/>
    <w:rsid w:val="001031B3"/>
    <w:rsid w:val="001068C2"/>
    <w:rsid w:val="001164F8"/>
    <w:rsid w:val="00120EA4"/>
    <w:rsid w:val="001254AC"/>
    <w:rsid w:val="0012637A"/>
    <w:rsid w:val="001263FB"/>
    <w:rsid w:val="00133CFF"/>
    <w:rsid w:val="00134132"/>
    <w:rsid w:val="0014357B"/>
    <w:rsid w:val="00143C71"/>
    <w:rsid w:val="00153E95"/>
    <w:rsid w:val="001638A9"/>
    <w:rsid w:val="00172147"/>
    <w:rsid w:val="00172B7F"/>
    <w:rsid w:val="001918B4"/>
    <w:rsid w:val="00192941"/>
    <w:rsid w:val="00193068"/>
    <w:rsid w:val="00197D97"/>
    <w:rsid w:val="001A236D"/>
    <w:rsid w:val="001A4034"/>
    <w:rsid w:val="001A568A"/>
    <w:rsid w:val="001A5F20"/>
    <w:rsid w:val="001B6617"/>
    <w:rsid w:val="001D10A7"/>
    <w:rsid w:val="001D1343"/>
    <w:rsid w:val="001D4CAC"/>
    <w:rsid w:val="001D4EC5"/>
    <w:rsid w:val="001D597C"/>
    <w:rsid w:val="001D769C"/>
    <w:rsid w:val="001E2C68"/>
    <w:rsid w:val="001E379D"/>
    <w:rsid w:val="001E5572"/>
    <w:rsid w:val="001F06E4"/>
    <w:rsid w:val="001F1F1F"/>
    <w:rsid w:val="001F6283"/>
    <w:rsid w:val="002043DF"/>
    <w:rsid w:val="00205359"/>
    <w:rsid w:val="002106A6"/>
    <w:rsid w:val="00216B7B"/>
    <w:rsid w:val="002222D3"/>
    <w:rsid w:val="00223E5B"/>
    <w:rsid w:val="00231E2B"/>
    <w:rsid w:val="00232D5D"/>
    <w:rsid w:val="002346D2"/>
    <w:rsid w:val="0023573E"/>
    <w:rsid w:val="0023665C"/>
    <w:rsid w:val="00240BA0"/>
    <w:rsid w:val="002465C4"/>
    <w:rsid w:val="002536BE"/>
    <w:rsid w:val="00253AFB"/>
    <w:rsid w:val="00255A7F"/>
    <w:rsid w:val="00257C8C"/>
    <w:rsid w:val="00261EEA"/>
    <w:rsid w:val="00262686"/>
    <w:rsid w:val="00266186"/>
    <w:rsid w:val="00266C7E"/>
    <w:rsid w:val="0027086A"/>
    <w:rsid w:val="00271274"/>
    <w:rsid w:val="00271D92"/>
    <w:rsid w:val="00272442"/>
    <w:rsid w:val="00274E57"/>
    <w:rsid w:val="00275F5C"/>
    <w:rsid w:val="00277BE0"/>
    <w:rsid w:val="00280539"/>
    <w:rsid w:val="00293868"/>
    <w:rsid w:val="0029464D"/>
    <w:rsid w:val="002A3454"/>
    <w:rsid w:val="002A432F"/>
    <w:rsid w:val="002A5379"/>
    <w:rsid w:val="002B29F2"/>
    <w:rsid w:val="002C1A1D"/>
    <w:rsid w:val="002C3191"/>
    <w:rsid w:val="002C56D4"/>
    <w:rsid w:val="002E136E"/>
    <w:rsid w:val="002E2F3E"/>
    <w:rsid w:val="002E5534"/>
    <w:rsid w:val="002E74AB"/>
    <w:rsid w:val="003008B6"/>
    <w:rsid w:val="0030607D"/>
    <w:rsid w:val="00307767"/>
    <w:rsid w:val="003106F9"/>
    <w:rsid w:val="003111EB"/>
    <w:rsid w:val="00314D16"/>
    <w:rsid w:val="003151A6"/>
    <w:rsid w:val="00321C79"/>
    <w:rsid w:val="003273E1"/>
    <w:rsid w:val="00333D5C"/>
    <w:rsid w:val="00335379"/>
    <w:rsid w:val="0033758F"/>
    <w:rsid w:val="00337892"/>
    <w:rsid w:val="0034081D"/>
    <w:rsid w:val="003474AF"/>
    <w:rsid w:val="0035399F"/>
    <w:rsid w:val="00355B2C"/>
    <w:rsid w:val="0036618F"/>
    <w:rsid w:val="00371C99"/>
    <w:rsid w:val="00371FD4"/>
    <w:rsid w:val="00375E80"/>
    <w:rsid w:val="003827B8"/>
    <w:rsid w:val="00384873"/>
    <w:rsid w:val="0038514C"/>
    <w:rsid w:val="00387ADE"/>
    <w:rsid w:val="003912E7"/>
    <w:rsid w:val="00392387"/>
    <w:rsid w:val="00396636"/>
    <w:rsid w:val="003A0AC2"/>
    <w:rsid w:val="003B2EB0"/>
    <w:rsid w:val="003B58AC"/>
    <w:rsid w:val="003B6B3B"/>
    <w:rsid w:val="003C01F7"/>
    <w:rsid w:val="003D0619"/>
    <w:rsid w:val="003D6503"/>
    <w:rsid w:val="003D7F26"/>
    <w:rsid w:val="003E1BBF"/>
    <w:rsid w:val="003E4BA1"/>
    <w:rsid w:val="003F05FD"/>
    <w:rsid w:val="003F4030"/>
    <w:rsid w:val="004012B5"/>
    <w:rsid w:val="00402CBB"/>
    <w:rsid w:val="00405269"/>
    <w:rsid w:val="00410371"/>
    <w:rsid w:val="00412629"/>
    <w:rsid w:val="0041336F"/>
    <w:rsid w:val="00432C25"/>
    <w:rsid w:val="00432CE0"/>
    <w:rsid w:val="00434080"/>
    <w:rsid w:val="004364AF"/>
    <w:rsid w:val="00436F64"/>
    <w:rsid w:val="00442B69"/>
    <w:rsid w:val="004430C5"/>
    <w:rsid w:val="00443C80"/>
    <w:rsid w:val="00443F6C"/>
    <w:rsid w:val="0044758A"/>
    <w:rsid w:val="00447AA0"/>
    <w:rsid w:val="0046011A"/>
    <w:rsid w:val="00463B2D"/>
    <w:rsid w:val="00463BD1"/>
    <w:rsid w:val="0046695A"/>
    <w:rsid w:val="00477C02"/>
    <w:rsid w:val="00480836"/>
    <w:rsid w:val="00482CF2"/>
    <w:rsid w:val="0048546E"/>
    <w:rsid w:val="004A1F5A"/>
    <w:rsid w:val="004A2193"/>
    <w:rsid w:val="004B0143"/>
    <w:rsid w:val="004B46A0"/>
    <w:rsid w:val="004D2256"/>
    <w:rsid w:val="004D26C0"/>
    <w:rsid w:val="004D48BA"/>
    <w:rsid w:val="004D62B9"/>
    <w:rsid w:val="004D7EE3"/>
    <w:rsid w:val="004E0CA9"/>
    <w:rsid w:val="004E0D88"/>
    <w:rsid w:val="004E3100"/>
    <w:rsid w:val="004E402E"/>
    <w:rsid w:val="004E65A0"/>
    <w:rsid w:val="004F29F1"/>
    <w:rsid w:val="004F4B7C"/>
    <w:rsid w:val="004F4FD8"/>
    <w:rsid w:val="00502109"/>
    <w:rsid w:val="00502FB0"/>
    <w:rsid w:val="00504F7C"/>
    <w:rsid w:val="00506F81"/>
    <w:rsid w:val="005100BA"/>
    <w:rsid w:val="005206BE"/>
    <w:rsid w:val="00520FC2"/>
    <w:rsid w:val="0052345D"/>
    <w:rsid w:val="005278AC"/>
    <w:rsid w:val="00540974"/>
    <w:rsid w:val="00541C8F"/>
    <w:rsid w:val="00541CF7"/>
    <w:rsid w:val="0054458C"/>
    <w:rsid w:val="00544E0E"/>
    <w:rsid w:val="00550F64"/>
    <w:rsid w:val="005521A9"/>
    <w:rsid w:val="00554035"/>
    <w:rsid w:val="0055449E"/>
    <w:rsid w:val="00556332"/>
    <w:rsid w:val="005573BC"/>
    <w:rsid w:val="005656E6"/>
    <w:rsid w:val="00566605"/>
    <w:rsid w:val="00566F6A"/>
    <w:rsid w:val="00574EA8"/>
    <w:rsid w:val="0057519F"/>
    <w:rsid w:val="00575391"/>
    <w:rsid w:val="0058702D"/>
    <w:rsid w:val="00594AEC"/>
    <w:rsid w:val="0059514A"/>
    <w:rsid w:val="005A0057"/>
    <w:rsid w:val="005A0106"/>
    <w:rsid w:val="005A17BD"/>
    <w:rsid w:val="005A6BF8"/>
    <w:rsid w:val="005A6C89"/>
    <w:rsid w:val="005B052E"/>
    <w:rsid w:val="005C29F3"/>
    <w:rsid w:val="005C39CB"/>
    <w:rsid w:val="005D2209"/>
    <w:rsid w:val="005D6D0E"/>
    <w:rsid w:val="005E0064"/>
    <w:rsid w:val="005E2AE0"/>
    <w:rsid w:val="005E3977"/>
    <w:rsid w:val="005E6702"/>
    <w:rsid w:val="005F1386"/>
    <w:rsid w:val="005F6707"/>
    <w:rsid w:val="005F6D61"/>
    <w:rsid w:val="005F7552"/>
    <w:rsid w:val="006023F3"/>
    <w:rsid w:val="00607C56"/>
    <w:rsid w:val="006143B4"/>
    <w:rsid w:val="00621B39"/>
    <w:rsid w:val="006270FC"/>
    <w:rsid w:val="00632580"/>
    <w:rsid w:val="00632D00"/>
    <w:rsid w:val="00632E25"/>
    <w:rsid w:val="0063448E"/>
    <w:rsid w:val="006413AA"/>
    <w:rsid w:val="00643456"/>
    <w:rsid w:val="006456D5"/>
    <w:rsid w:val="00645815"/>
    <w:rsid w:val="00645CBC"/>
    <w:rsid w:val="00651051"/>
    <w:rsid w:val="00651C47"/>
    <w:rsid w:val="00652021"/>
    <w:rsid w:val="00652AEB"/>
    <w:rsid w:val="00652C0B"/>
    <w:rsid w:val="00652F67"/>
    <w:rsid w:val="00656AB8"/>
    <w:rsid w:val="00657CBC"/>
    <w:rsid w:val="00660B67"/>
    <w:rsid w:val="00663F2E"/>
    <w:rsid w:val="006742A4"/>
    <w:rsid w:val="006818B4"/>
    <w:rsid w:val="006831EC"/>
    <w:rsid w:val="00686B0E"/>
    <w:rsid w:val="0068735C"/>
    <w:rsid w:val="006924D5"/>
    <w:rsid w:val="006A02AA"/>
    <w:rsid w:val="006B392C"/>
    <w:rsid w:val="006B553F"/>
    <w:rsid w:val="006B6A0F"/>
    <w:rsid w:val="006C2AFB"/>
    <w:rsid w:val="006C367E"/>
    <w:rsid w:val="006D5FFE"/>
    <w:rsid w:val="006F26B1"/>
    <w:rsid w:val="007047E4"/>
    <w:rsid w:val="00710E1A"/>
    <w:rsid w:val="00713455"/>
    <w:rsid w:val="007137B7"/>
    <w:rsid w:val="007179A1"/>
    <w:rsid w:val="00720BE6"/>
    <w:rsid w:val="00724C69"/>
    <w:rsid w:val="007329ED"/>
    <w:rsid w:val="00737151"/>
    <w:rsid w:val="0074747A"/>
    <w:rsid w:val="00752039"/>
    <w:rsid w:val="0075241C"/>
    <w:rsid w:val="00755104"/>
    <w:rsid w:val="00756B9B"/>
    <w:rsid w:val="007630C5"/>
    <w:rsid w:val="00763BBD"/>
    <w:rsid w:val="00765795"/>
    <w:rsid w:val="00765B00"/>
    <w:rsid w:val="007663ED"/>
    <w:rsid w:val="00772621"/>
    <w:rsid w:val="0078018C"/>
    <w:rsid w:val="00781642"/>
    <w:rsid w:val="0078219A"/>
    <w:rsid w:val="0078501F"/>
    <w:rsid w:val="00786C9C"/>
    <w:rsid w:val="00791618"/>
    <w:rsid w:val="00792366"/>
    <w:rsid w:val="00795598"/>
    <w:rsid w:val="007A04BA"/>
    <w:rsid w:val="007A243D"/>
    <w:rsid w:val="007A57C1"/>
    <w:rsid w:val="007A69EF"/>
    <w:rsid w:val="007A6A06"/>
    <w:rsid w:val="007B297F"/>
    <w:rsid w:val="007C2C70"/>
    <w:rsid w:val="007C3B4B"/>
    <w:rsid w:val="007C4B17"/>
    <w:rsid w:val="007C5D84"/>
    <w:rsid w:val="007C65D9"/>
    <w:rsid w:val="007C6DC2"/>
    <w:rsid w:val="007D0A11"/>
    <w:rsid w:val="007D16BF"/>
    <w:rsid w:val="007D65F2"/>
    <w:rsid w:val="007D7B66"/>
    <w:rsid w:val="007E6FAB"/>
    <w:rsid w:val="007E775D"/>
    <w:rsid w:val="007F2DE9"/>
    <w:rsid w:val="007F75A2"/>
    <w:rsid w:val="008014A4"/>
    <w:rsid w:val="008017A2"/>
    <w:rsid w:val="0080182F"/>
    <w:rsid w:val="00802E62"/>
    <w:rsid w:val="008073AA"/>
    <w:rsid w:val="0080774E"/>
    <w:rsid w:val="008113DE"/>
    <w:rsid w:val="00811E72"/>
    <w:rsid w:val="0081357E"/>
    <w:rsid w:val="00813844"/>
    <w:rsid w:val="00816A8D"/>
    <w:rsid w:val="00821B9B"/>
    <w:rsid w:val="00824A20"/>
    <w:rsid w:val="00826025"/>
    <w:rsid w:val="00845BCE"/>
    <w:rsid w:val="008467CD"/>
    <w:rsid w:val="00846CA2"/>
    <w:rsid w:val="00852831"/>
    <w:rsid w:val="0085359C"/>
    <w:rsid w:val="008633E0"/>
    <w:rsid w:val="00863DB6"/>
    <w:rsid w:val="00866B79"/>
    <w:rsid w:val="00880233"/>
    <w:rsid w:val="00880444"/>
    <w:rsid w:val="00883F5D"/>
    <w:rsid w:val="00884617"/>
    <w:rsid w:val="00885391"/>
    <w:rsid w:val="00885E2E"/>
    <w:rsid w:val="00886A98"/>
    <w:rsid w:val="0089147F"/>
    <w:rsid w:val="008929AB"/>
    <w:rsid w:val="0089695C"/>
    <w:rsid w:val="0089769E"/>
    <w:rsid w:val="008A3DCC"/>
    <w:rsid w:val="008A4A4C"/>
    <w:rsid w:val="008A4F10"/>
    <w:rsid w:val="008A5690"/>
    <w:rsid w:val="008A6AFA"/>
    <w:rsid w:val="008B5AC6"/>
    <w:rsid w:val="008B5D5A"/>
    <w:rsid w:val="008C1082"/>
    <w:rsid w:val="008D0F90"/>
    <w:rsid w:val="008F26E9"/>
    <w:rsid w:val="008F4664"/>
    <w:rsid w:val="008F4B8F"/>
    <w:rsid w:val="008F5AB4"/>
    <w:rsid w:val="00901124"/>
    <w:rsid w:val="00905283"/>
    <w:rsid w:val="00910561"/>
    <w:rsid w:val="009119C0"/>
    <w:rsid w:val="0091279D"/>
    <w:rsid w:val="0091551A"/>
    <w:rsid w:val="00916951"/>
    <w:rsid w:val="00920D82"/>
    <w:rsid w:val="00923BC8"/>
    <w:rsid w:val="009245D4"/>
    <w:rsid w:val="00926823"/>
    <w:rsid w:val="0093132C"/>
    <w:rsid w:val="0093208B"/>
    <w:rsid w:val="00935AEB"/>
    <w:rsid w:val="00936A2A"/>
    <w:rsid w:val="00936C36"/>
    <w:rsid w:val="00946501"/>
    <w:rsid w:val="009525F6"/>
    <w:rsid w:val="00952C9D"/>
    <w:rsid w:val="00954081"/>
    <w:rsid w:val="0096140D"/>
    <w:rsid w:val="00962D12"/>
    <w:rsid w:val="00963994"/>
    <w:rsid w:val="00964A7E"/>
    <w:rsid w:val="009658AE"/>
    <w:rsid w:val="00970035"/>
    <w:rsid w:val="00977C03"/>
    <w:rsid w:val="00981238"/>
    <w:rsid w:val="00985AD2"/>
    <w:rsid w:val="00985F91"/>
    <w:rsid w:val="00990348"/>
    <w:rsid w:val="009924FF"/>
    <w:rsid w:val="00992EAA"/>
    <w:rsid w:val="009931E2"/>
    <w:rsid w:val="009A1DD7"/>
    <w:rsid w:val="009A215B"/>
    <w:rsid w:val="009A3E07"/>
    <w:rsid w:val="009A5DD6"/>
    <w:rsid w:val="009B06B8"/>
    <w:rsid w:val="009C286B"/>
    <w:rsid w:val="009C46A3"/>
    <w:rsid w:val="009C5440"/>
    <w:rsid w:val="009C5CEA"/>
    <w:rsid w:val="009D0B64"/>
    <w:rsid w:val="009D36E8"/>
    <w:rsid w:val="009D37DC"/>
    <w:rsid w:val="009D52D0"/>
    <w:rsid w:val="009D7233"/>
    <w:rsid w:val="009E0B8C"/>
    <w:rsid w:val="009E2035"/>
    <w:rsid w:val="009E253A"/>
    <w:rsid w:val="009E29A7"/>
    <w:rsid w:val="009E4D75"/>
    <w:rsid w:val="009E5609"/>
    <w:rsid w:val="009E758B"/>
    <w:rsid w:val="009F05A4"/>
    <w:rsid w:val="009F47D5"/>
    <w:rsid w:val="009F63BB"/>
    <w:rsid w:val="009F7612"/>
    <w:rsid w:val="00A04CE7"/>
    <w:rsid w:val="00A05A9C"/>
    <w:rsid w:val="00A070E8"/>
    <w:rsid w:val="00A125D8"/>
    <w:rsid w:val="00A12646"/>
    <w:rsid w:val="00A13685"/>
    <w:rsid w:val="00A138F7"/>
    <w:rsid w:val="00A15711"/>
    <w:rsid w:val="00A160D7"/>
    <w:rsid w:val="00A30EE9"/>
    <w:rsid w:val="00A31E4C"/>
    <w:rsid w:val="00A32543"/>
    <w:rsid w:val="00A33C35"/>
    <w:rsid w:val="00A3445D"/>
    <w:rsid w:val="00A3789D"/>
    <w:rsid w:val="00A46222"/>
    <w:rsid w:val="00A462E0"/>
    <w:rsid w:val="00A4765E"/>
    <w:rsid w:val="00A525DC"/>
    <w:rsid w:val="00A5462D"/>
    <w:rsid w:val="00A60A79"/>
    <w:rsid w:val="00A648EA"/>
    <w:rsid w:val="00A66EB0"/>
    <w:rsid w:val="00A7191B"/>
    <w:rsid w:val="00A737E5"/>
    <w:rsid w:val="00A73B24"/>
    <w:rsid w:val="00A83174"/>
    <w:rsid w:val="00A85E46"/>
    <w:rsid w:val="00A912C5"/>
    <w:rsid w:val="00A91B89"/>
    <w:rsid w:val="00A927D5"/>
    <w:rsid w:val="00A97C1D"/>
    <w:rsid w:val="00AA1B28"/>
    <w:rsid w:val="00AA31C0"/>
    <w:rsid w:val="00AA42F9"/>
    <w:rsid w:val="00AA48E5"/>
    <w:rsid w:val="00AA7937"/>
    <w:rsid w:val="00AB34B5"/>
    <w:rsid w:val="00AC0643"/>
    <w:rsid w:val="00AD40B8"/>
    <w:rsid w:val="00AE70BA"/>
    <w:rsid w:val="00AE7807"/>
    <w:rsid w:val="00AF1A9B"/>
    <w:rsid w:val="00B05510"/>
    <w:rsid w:val="00B11666"/>
    <w:rsid w:val="00B140B1"/>
    <w:rsid w:val="00B3269F"/>
    <w:rsid w:val="00B36BE4"/>
    <w:rsid w:val="00B442A5"/>
    <w:rsid w:val="00B4624E"/>
    <w:rsid w:val="00B54C04"/>
    <w:rsid w:val="00B56F4B"/>
    <w:rsid w:val="00B64FCB"/>
    <w:rsid w:val="00B709C7"/>
    <w:rsid w:val="00B75126"/>
    <w:rsid w:val="00B76BC9"/>
    <w:rsid w:val="00B864B5"/>
    <w:rsid w:val="00B90466"/>
    <w:rsid w:val="00B91BD8"/>
    <w:rsid w:val="00B92E21"/>
    <w:rsid w:val="00B93DD6"/>
    <w:rsid w:val="00B94007"/>
    <w:rsid w:val="00B95410"/>
    <w:rsid w:val="00B968EF"/>
    <w:rsid w:val="00BA174C"/>
    <w:rsid w:val="00BA2F4C"/>
    <w:rsid w:val="00BA4503"/>
    <w:rsid w:val="00BA7CD5"/>
    <w:rsid w:val="00BB01F8"/>
    <w:rsid w:val="00BB0A21"/>
    <w:rsid w:val="00BB1713"/>
    <w:rsid w:val="00BB76CB"/>
    <w:rsid w:val="00BC564E"/>
    <w:rsid w:val="00BC6198"/>
    <w:rsid w:val="00BC73E6"/>
    <w:rsid w:val="00BE15FE"/>
    <w:rsid w:val="00BE1E7A"/>
    <w:rsid w:val="00BF3CE7"/>
    <w:rsid w:val="00BF786C"/>
    <w:rsid w:val="00C1219A"/>
    <w:rsid w:val="00C211E0"/>
    <w:rsid w:val="00C224CB"/>
    <w:rsid w:val="00C25493"/>
    <w:rsid w:val="00C31245"/>
    <w:rsid w:val="00C32424"/>
    <w:rsid w:val="00C404AD"/>
    <w:rsid w:val="00C46036"/>
    <w:rsid w:val="00C46A5B"/>
    <w:rsid w:val="00C4793F"/>
    <w:rsid w:val="00C55FA1"/>
    <w:rsid w:val="00C60CA8"/>
    <w:rsid w:val="00C63373"/>
    <w:rsid w:val="00C65357"/>
    <w:rsid w:val="00C670CF"/>
    <w:rsid w:val="00C70E1D"/>
    <w:rsid w:val="00C7128B"/>
    <w:rsid w:val="00C71BC1"/>
    <w:rsid w:val="00C74EF1"/>
    <w:rsid w:val="00C8049B"/>
    <w:rsid w:val="00C953C5"/>
    <w:rsid w:val="00C9634E"/>
    <w:rsid w:val="00C97149"/>
    <w:rsid w:val="00CB4B32"/>
    <w:rsid w:val="00CB7EFD"/>
    <w:rsid w:val="00CC11A5"/>
    <w:rsid w:val="00CC1849"/>
    <w:rsid w:val="00CC2AA4"/>
    <w:rsid w:val="00CD2133"/>
    <w:rsid w:val="00CD423C"/>
    <w:rsid w:val="00CD75B8"/>
    <w:rsid w:val="00CE3DD0"/>
    <w:rsid w:val="00CE49D5"/>
    <w:rsid w:val="00CE63B8"/>
    <w:rsid w:val="00CF334C"/>
    <w:rsid w:val="00CF335C"/>
    <w:rsid w:val="00CF38BD"/>
    <w:rsid w:val="00D018AA"/>
    <w:rsid w:val="00D04FCD"/>
    <w:rsid w:val="00D129D0"/>
    <w:rsid w:val="00D12FEB"/>
    <w:rsid w:val="00D14963"/>
    <w:rsid w:val="00D2078E"/>
    <w:rsid w:val="00D21C11"/>
    <w:rsid w:val="00D22972"/>
    <w:rsid w:val="00D22C5F"/>
    <w:rsid w:val="00D23FF7"/>
    <w:rsid w:val="00D24437"/>
    <w:rsid w:val="00D316D4"/>
    <w:rsid w:val="00D31E55"/>
    <w:rsid w:val="00D56C8F"/>
    <w:rsid w:val="00D62588"/>
    <w:rsid w:val="00D73AE2"/>
    <w:rsid w:val="00D74E8A"/>
    <w:rsid w:val="00D7512B"/>
    <w:rsid w:val="00D84199"/>
    <w:rsid w:val="00D90894"/>
    <w:rsid w:val="00D91B9E"/>
    <w:rsid w:val="00D961E7"/>
    <w:rsid w:val="00DA30F9"/>
    <w:rsid w:val="00DA48F5"/>
    <w:rsid w:val="00DA4EBB"/>
    <w:rsid w:val="00DA58BA"/>
    <w:rsid w:val="00DB0970"/>
    <w:rsid w:val="00DC02B6"/>
    <w:rsid w:val="00DC67EC"/>
    <w:rsid w:val="00DD07A3"/>
    <w:rsid w:val="00DD0BF9"/>
    <w:rsid w:val="00DD44D4"/>
    <w:rsid w:val="00DE1DDD"/>
    <w:rsid w:val="00DE6530"/>
    <w:rsid w:val="00DE687A"/>
    <w:rsid w:val="00DF46CC"/>
    <w:rsid w:val="00DF5DFD"/>
    <w:rsid w:val="00DF64E0"/>
    <w:rsid w:val="00DF7E86"/>
    <w:rsid w:val="00E04772"/>
    <w:rsid w:val="00E12ED3"/>
    <w:rsid w:val="00E23502"/>
    <w:rsid w:val="00E302F7"/>
    <w:rsid w:val="00E30CFA"/>
    <w:rsid w:val="00E3419E"/>
    <w:rsid w:val="00E359C2"/>
    <w:rsid w:val="00E447C4"/>
    <w:rsid w:val="00E47EEC"/>
    <w:rsid w:val="00E50CE8"/>
    <w:rsid w:val="00E52536"/>
    <w:rsid w:val="00E552B9"/>
    <w:rsid w:val="00E620F6"/>
    <w:rsid w:val="00E621D3"/>
    <w:rsid w:val="00E6385C"/>
    <w:rsid w:val="00E7350B"/>
    <w:rsid w:val="00E7421B"/>
    <w:rsid w:val="00E75DD8"/>
    <w:rsid w:val="00E81147"/>
    <w:rsid w:val="00E818E9"/>
    <w:rsid w:val="00E87CA1"/>
    <w:rsid w:val="00E92D66"/>
    <w:rsid w:val="00E93A43"/>
    <w:rsid w:val="00E93E0D"/>
    <w:rsid w:val="00E97DD0"/>
    <w:rsid w:val="00EA27FC"/>
    <w:rsid w:val="00EA32A3"/>
    <w:rsid w:val="00EB567F"/>
    <w:rsid w:val="00EB71FE"/>
    <w:rsid w:val="00EC0169"/>
    <w:rsid w:val="00EC57F8"/>
    <w:rsid w:val="00EC6D11"/>
    <w:rsid w:val="00ED65DB"/>
    <w:rsid w:val="00EF0DE3"/>
    <w:rsid w:val="00EF1BA4"/>
    <w:rsid w:val="00EF46E7"/>
    <w:rsid w:val="00F0036A"/>
    <w:rsid w:val="00F03F54"/>
    <w:rsid w:val="00F049B3"/>
    <w:rsid w:val="00F07796"/>
    <w:rsid w:val="00F124B6"/>
    <w:rsid w:val="00F24202"/>
    <w:rsid w:val="00F309C5"/>
    <w:rsid w:val="00F3363B"/>
    <w:rsid w:val="00F3690F"/>
    <w:rsid w:val="00F37565"/>
    <w:rsid w:val="00F40FF0"/>
    <w:rsid w:val="00F41ED2"/>
    <w:rsid w:val="00F42527"/>
    <w:rsid w:val="00F43ACE"/>
    <w:rsid w:val="00F46972"/>
    <w:rsid w:val="00F4727B"/>
    <w:rsid w:val="00F52132"/>
    <w:rsid w:val="00F57A3F"/>
    <w:rsid w:val="00F6130C"/>
    <w:rsid w:val="00F63950"/>
    <w:rsid w:val="00F658D6"/>
    <w:rsid w:val="00F730E1"/>
    <w:rsid w:val="00F7501E"/>
    <w:rsid w:val="00F753FE"/>
    <w:rsid w:val="00F776B4"/>
    <w:rsid w:val="00F86C7B"/>
    <w:rsid w:val="00F87F2C"/>
    <w:rsid w:val="00F9186C"/>
    <w:rsid w:val="00F92D86"/>
    <w:rsid w:val="00F9305E"/>
    <w:rsid w:val="00F9320F"/>
    <w:rsid w:val="00FA123B"/>
    <w:rsid w:val="00FA21A5"/>
    <w:rsid w:val="00FA4454"/>
    <w:rsid w:val="00FA4C60"/>
    <w:rsid w:val="00FB0AFB"/>
    <w:rsid w:val="00FB0CF5"/>
    <w:rsid w:val="00FB1480"/>
    <w:rsid w:val="00FB1C2F"/>
    <w:rsid w:val="00FB281D"/>
    <w:rsid w:val="00FB65FA"/>
    <w:rsid w:val="00FC249A"/>
    <w:rsid w:val="00FD02A2"/>
    <w:rsid w:val="00FD0978"/>
    <w:rsid w:val="00FD1D8B"/>
    <w:rsid w:val="00FD4FDB"/>
    <w:rsid w:val="00FD5CCC"/>
    <w:rsid w:val="00FD66E7"/>
    <w:rsid w:val="00FD6928"/>
    <w:rsid w:val="00FE320B"/>
    <w:rsid w:val="00FF2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01E"/>
    <w:pPr>
      <w:jc w:val="both"/>
    </w:pPr>
    <w:rPr>
      <w:sz w:val="24"/>
      <w:szCs w:val="20"/>
      <w:lang w:eastAsia="en-US"/>
    </w:rPr>
  </w:style>
  <w:style w:type="paragraph" w:styleId="Heading1">
    <w:name w:val="heading 1"/>
    <w:basedOn w:val="Normal"/>
    <w:link w:val="Heading1Char"/>
    <w:autoRedefine/>
    <w:uiPriority w:val="99"/>
    <w:qFormat/>
    <w:rsid w:val="00846CA2"/>
    <w:pPr>
      <w:keepNext/>
      <w:keepLines/>
      <w:outlineLvl w:val="0"/>
    </w:pPr>
    <w:rPr>
      <w:b/>
      <w:kern w:val="28"/>
      <w:sz w:val="32"/>
    </w:rPr>
  </w:style>
  <w:style w:type="paragraph" w:styleId="Heading2">
    <w:name w:val="heading 2"/>
    <w:basedOn w:val="Normal"/>
    <w:link w:val="Heading2Char"/>
    <w:autoRedefine/>
    <w:uiPriority w:val="99"/>
    <w:qFormat/>
    <w:rsid w:val="00F7501E"/>
    <w:pPr>
      <w:keepLines/>
      <w:numPr>
        <w:ilvl w:val="1"/>
        <w:numId w:val="1"/>
      </w:numPr>
      <w:spacing w:before="320"/>
      <w:outlineLvl w:val="1"/>
    </w:pPr>
  </w:style>
  <w:style w:type="paragraph" w:styleId="Heading3">
    <w:name w:val="heading 3"/>
    <w:basedOn w:val="Normal"/>
    <w:link w:val="Heading3Char"/>
    <w:autoRedefine/>
    <w:uiPriority w:val="99"/>
    <w:qFormat/>
    <w:rsid w:val="00F7501E"/>
    <w:pPr>
      <w:keepLines/>
      <w:numPr>
        <w:ilvl w:val="2"/>
        <w:numId w:val="1"/>
      </w:numPr>
      <w:spacing w:before="320"/>
      <w:outlineLvl w:val="2"/>
    </w:pPr>
  </w:style>
  <w:style w:type="paragraph" w:styleId="Heading4">
    <w:name w:val="heading 4"/>
    <w:basedOn w:val="Normal"/>
    <w:link w:val="Heading4Char"/>
    <w:autoRedefine/>
    <w:uiPriority w:val="99"/>
    <w:qFormat/>
    <w:rsid w:val="000B17F9"/>
    <w:pPr>
      <w:keepLines/>
      <w:spacing w:before="360"/>
      <w:jc w:val="left"/>
      <w:outlineLvl w:val="3"/>
    </w:pPr>
    <w:rPr>
      <w:sz w:val="28"/>
      <w:szCs w:val="28"/>
    </w:rPr>
  </w:style>
  <w:style w:type="paragraph" w:styleId="Heading5">
    <w:name w:val="heading 5"/>
    <w:basedOn w:val="Normal"/>
    <w:link w:val="Heading5Char"/>
    <w:autoRedefine/>
    <w:uiPriority w:val="99"/>
    <w:qFormat/>
    <w:rsid w:val="00F7501E"/>
    <w:pPr>
      <w:numPr>
        <w:ilvl w:val="4"/>
        <w:numId w:val="1"/>
      </w:numPr>
      <w:spacing w:before="160"/>
      <w:outlineLvl w:val="4"/>
    </w:pPr>
    <w:rPr>
      <w:sz w:val="22"/>
    </w:rPr>
  </w:style>
  <w:style w:type="paragraph" w:styleId="Heading6">
    <w:name w:val="heading 6"/>
    <w:basedOn w:val="Normal"/>
    <w:link w:val="Heading6Char"/>
    <w:autoRedefine/>
    <w:uiPriority w:val="99"/>
    <w:qFormat/>
    <w:rsid w:val="00F7501E"/>
    <w:pPr>
      <w:keepLines/>
      <w:numPr>
        <w:ilvl w:val="5"/>
        <w:numId w:val="1"/>
      </w:numPr>
      <w:outlineLvl w:val="5"/>
    </w:pPr>
    <w:rPr>
      <w:sz w:val="22"/>
    </w:rPr>
  </w:style>
  <w:style w:type="paragraph" w:styleId="Heading7">
    <w:name w:val="heading 7"/>
    <w:basedOn w:val="Normal"/>
    <w:link w:val="Heading7Char"/>
    <w:autoRedefine/>
    <w:uiPriority w:val="99"/>
    <w:qFormat/>
    <w:rsid w:val="00F7501E"/>
    <w:pPr>
      <w:keepLines/>
      <w:numPr>
        <w:ilvl w:val="6"/>
        <w:numId w:val="1"/>
      </w:numPr>
      <w:outlineLvl w:val="6"/>
    </w:pPr>
    <w:rPr>
      <w:sz w:val="22"/>
    </w:rPr>
  </w:style>
  <w:style w:type="paragraph" w:styleId="Heading8">
    <w:name w:val="heading 8"/>
    <w:basedOn w:val="Normal"/>
    <w:link w:val="Heading8Char"/>
    <w:autoRedefine/>
    <w:uiPriority w:val="99"/>
    <w:qFormat/>
    <w:rsid w:val="00F7501E"/>
    <w:pPr>
      <w:keepLines/>
      <w:numPr>
        <w:ilvl w:val="7"/>
        <w:numId w:val="1"/>
      </w:numPr>
      <w:outlineLvl w:val="7"/>
    </w:pPr>
    <w:rPr>
      <w:sz w:val="22"/>
    </w:rPr>
  </w:style>
  <w:style w:type="paragraph" w:styleId="Heading9">
    <w:name w:val="heading 9"/>
    <w:basedOn w:val="Normal"/>
    <w:link w:val="Heading9Char"/>
    <w:autoRedefine/>
    <w:uiPriority w:val="99"/>
    <w:qFormat/>
    <w:rsid w:val="00F7501E"/>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6CA2"/>
    <w:rPr>
      <w:b/>
      <w:kern w:val="28"/>
      <w:sz w:val="32"/>
      <w:szCs w:val="20"/>
      <w:lang w:eastAsia="en-US"/>
    </w:rPr>
  </w:style>
  <w:style w:type="character" w:customStyle="1" w:styleId="Heading2Char">
    <w:name w:val="Heading 2 Char"/>
    <w:basedOn w:val="DefaultParagraphFont"/>
    <w:link w:val="Heading2"/>
    <w:uiPriority w:val="9"/>
    <w:semiHidden/>
    <w:rsid w:val="005F433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F433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rsid w:val="000B17F9"/>
    <w:rPr>
      <w:sz w:val="28"/>
      <w:szCs w:val="28"/>
      <w:lang w:eastAsia="en-US"/>
    </w:rPr>
  </w:style>
  <w:style w:type="character" w:customStyle="1" w:styleId="Heading5Char">
    <w:name w:val="Heading 5 Char"/>
    <w:basedOn w:val="DefaultParagraphFont"/>
    <w:link w:val="Heading5"/>
    <w:uiPriority w:val="9"/>
    <w:semiHidden/>
    <w:rsid w:val="005F433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433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433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433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433F"/>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F7501E"/>
    <w:rPr>
      <w:rFonts w:ascii="Tahoma" w:hAnsi="Tahoma" w:cs="Tahoma"/>
      <w:sz w:val="16"/>
      <w:szCs w:val="16"/>
    </w:rPr>
  </w:style>
  <w:style w:type="character" w:customStyle="1" w:styleId="BalloonTextChar">
    <w:name w:val="Balloon Text Char"/>
    <w:basedOn w:val="DefaultParagraphFont"/>
    <w:link w:val="BalloonText"/>
    <w:uiPriority w:val="99"/>
    <w:semiHidden/>
    <w:rsid w:val="00F7501E"/>
    <w:rPr>
      <w:rFonts w:ascii="Tahoma" w:hAnsi="Tahoma"/>
      <w:sz w:val="16"/>
      <w:lang w:eastAsia="en-US"/>
    </w:rPr>
  </w:style>
  <w:style w:type="character" w:styleId="PageNumber">
    <w:name w:val="page number"/>
    <w:basedOn w:val="DefaultParagraphFont"/>
    <w:uiPriority w:val="99"/>
    <w:semiHidden/>
    <w:rsid w:val="00F7501E"/>
    <w:rPr>
      <w:rFonts w:cs="Times New Roman"/>
    </w:rPr>
  </w:style>
  <w:style w:type="paragraph" w:styleId="Header">
    <w:name w:val="header"/>
    <w:basedOn w:val="Normal"/>
    <w:link w:val="HeaderChar"/>
    <w:uiPriority w:val="99"/>
    <w:semiHidden/>
    <w:rsid w:val="00F7501E"/>
    <w:pPr>
      <w:tabs>
        <w:tab w:val="center" w:pos="4153"/>
        <w:tab w:val="right" w:pos="8306"/>
      </w:tabs>
    </w:pPr>
  </w:style>
  <w:style w:type="character" w:customStyle="1" w:styleId="HeaderChar">
    <w:name w:val="Header Char"/>
    <w:basedOn w:val="DefaultParagraphFont"/>
    <w:link w:val="Header"/>
    <w:uiPriority w:val="99"/>
    <w:semiHidden/>
    <w:rsid w:val="005F433F"/>
    <w:rPr>
      <w:sz w:val="24"/>
      <w:szCs w:val="20"/>
      <w:lang w:eastAsia="en-US"/>
    </w:rPr>
  </w:style>
  <w:style w:type="paragraph" w:customStyle="1" w:styleId="TekstsN1">
    <w:name w:val="TekstsN1"/>
    <w:basedOn w:val="Normal"/>
    <w:autoRedefine/>
    <w:rsid w:val="00F7501E"/>
    <w:pPr>
      <w:keepLines/>
      <w:numPr>
        <w:numId w:val="5"/>
      </w:numPr>
      <w:spacing w:before="320"/>
      <w:outlineLvl w:val="0"/>
    </w:pPr>
  </w:style>
  <w:style w:type="paragraph" w:styleId="Footer">
    <w:name w:val="footer"/>
    <w:basedOn w:val="Normal"/>
    <w:link w:val="FooterChar"/>
    <w:uiPriority w:val="99"/>
    <w:semiHidden/>
    <w:rsid w:val="00F7501E"/>
    <w:pPr>
      <w:tabs>
        <w:tab w:val="center" w:pos="4153"/>
        <w:tab w:val="right" w:pos="8306"/>
      </w:tabs>
    </w:pPr>
  </w:style>
  <w:style w:type="character" w:customStyle="1" w:styleId="FooterChar">
    <w:name w:val="Footer Char"/>
    <w:basedOn w:val="DefaultParagraphFont"/>
    <w:link w:val="Footer"/>
    <w:uiPriority w:val="99"/>
    <w:semiHidden/>
    <w:rsid w:val="005F433F"/>
    <w:rPr>
      <w:sz w:val="24"/>
      <w:szCs w:val="20"/>
      <w:lang w:eastAsia="en-US"/>
    </w:rPr>
  </w:style>
  <w:style w:type="paragraph" w:customStyle="1" w:styleId="Teksts1">
    <w:name w:val="Teksts1"/>
    <w:basedOn w:val="Normal"/>
    <w:rsid w:val="00F7501E"/>
    <w:pPr>
      <w:spacing w:after="320"/>
    </w:pPr>
  </w:style>
  <w:style w:type="paragraph" w:customStyle="1" w:styleId="Teksts2">
    <w:name w:val="Teksts2"/>
    <w:basedOn w:val="Normal"/>
    <w:rsid w:val="00F7501E"/>
  </w:style>
  <w:style w:type="paragraph" w:customStyle="1" w:styleId="Teksts3">
    <w:name w:val="Teksts3"/>
    <w:basedOn w:val="Teksts1"/>
    <w:uiPriority w:val="99"/>
    <w:rsid w:val="00F7501E"/>
    <w:pPr>
      <w:spacing w:after="160"/>
    </w:pPr>
  </w:style>
  <w:style w:type="paragraph" w:customStyle="1" w:styleId="TekstsN2">
    <w:name w:val="TekstsN2"/>
    <w:basedOn w:val="Normal"/>
    <w:autoRedefine/>
    <w:rsid w:val="00F7501E"/>
    <w:pPr>
      <w:keepLines/>
      <w:numPr>
        <w:ilvl w:val="1"/>
        <w:numId w:val="5"/>
      </w:numPr>
      <w:spacing w:before="320"/>
      <w:outlineLvl w:val="1"/>
    </w:pPr>
  </w:style>
  <w:style w:type="paragraph" w:customStyle="1" w:styleId="TekstsN3">
    <w:name w:val="TekstsN3"/>
    <w:basedOn w:val="Normal"/>
    <w:autoRedefine/>
    <w:rsid w:val="00F7501E"/>
    <w:pPr>
      <w:keepLines/>
      <w:numPr>
        <w:ilvl w:val="2"/>
        <w:numId w:val="5"/>
      </w:numPr>
      <w:spacing w:before="320"/>
      <w:outlineLvl w:val="2"/>
    </w:pPr>
  </w:style>
  <w:style w:type="paragraph" w:customStyle="1" w:styleId="Datums">
    <w:name w:val="Datums"/>
    <w:basedOn w:val="Normal"/>
    <w:next w:val="Normal"/>
    <w:uiPriority w:val="99"/>
    <w:rsid w:val="00F7501E"/>
    <w:pPr>
      <w:spacing w:before="1700"/>
      <w:jc w:val="left"/>
    </w:pPr>
    <w:rPr>
      <w:lang w:val="en-US"/>
    </w:rPr>
  </w:style>
  <w:style w:type="paragraph" w:customStyle="1" w:styleId="Adrese">
    <w:name w:val="Adrese"/>
    <w:basedOn w:val="Normal"/>
    <w:uiPriority w:val="99"/>
    <w:rsid w:val="00F7501E"/>
    <w:pPr>
      <w:jc w:val="left"/>
    </w:pPr>
    <w:rPr>
      <w:lang w:val="en-US"/>
    </w:rPr>
  </w:style>
  <w:style w:type="paragraph" w:customStyle="1" w:styleId="Uzruna">
    <w:name w:val="Uzruna"/>
    <w:basedOn w:val="Normal"/>
    <w:next w:val="Teksts1"/>
    <w:rsid w:val="00F7501E"/>
    <w:pPr>
      <w:spacing w:before="320" w:after="320"/>
      <w:jc w:val="left"/>
    </w:pPr>
    <w:rPr>
      <w:lang w:val="en-US"/>
    </w:rPr>
  </w:style>
  <w:style w:type="paragraph" w:customStyle="1" w:styleId="Nobeigums">
    <w:name w:val="Nobeigums"/>
    <w:basedOn w:val="Normal"/>
    <w:uiPriority w:val="99"/>
    <w:rsid w:val="00F7501E"/>
    <w:pPr>
      <w:jc w:val="left"/>
    </w:pPr>
    <w:rPr>
      <w:lang w:val="en-US"/>
    </w:rPr>
  </w:style>
  <w:style w:type="paragraph" w:customStyle="1" w:styleId="Autors">
    <w:name w:val="Autors"/>
    <w:basedOn w:val="Normal"/>
    <w:next w:val="Normal"/>
    <w:rsid w:val="00F7501E"/>
    <w:pPr>
      <w:tabs>
        <w:tab w:val="right" w:pos="9072"/>
      </w:tabs>
      <w:spacing w:before="1440"/>
      <w:jc w:val="left"/>
    </w:pPr>
    <w:rPr>
      <w:lang w:val="en-US"/>
    </w:rPr>
  </w:style>
  <w:style w:type="paragraph" w:customStyle="1" w:styleId="Valsts">
    <w:name w:val="Valsts"/>
    <w:basedOn w:val="Normal"/>
    <w:uiPriority w:val="99"/>
    <w:rsid w:val="00F7501E"/>
    <w:pPr>
      <w:jc w:val="left"/>
    </w:pPr>
    <w:rPr>
      <w:caps/>
      <w:lang w:val="en-US"/>
    </w:rPr>
  </w:style>
  <w:style w:type="paragraph" w:customStyle="1" w:styleId="Registrnum">
    <w:name w:val="Registr. num"/>
    <w:basedOn w:val="Normal"/>
    <w:next w:val="Adrese"/>
    <w:uiPriority w:val="99"/>
    <w:rsid w:val="00F7501E"/>
    <w:pPr>
      <w:spacing w:after="320"/>
      <w:jc w:val="left"/>
    </w:pPr>
    <w:rPr>
      <w:lang w:val="en-US"/>
    </w:rPr>
  </w:style>
  <w:style w:type="paragraph" w:customStyle="1" w:styleId="Nosaukums">
    <w:name w:val="Nosaukums"/>
    <w:basedOn w:val="Normal"/>
    <w:next w:val="Normal"/>
    <w:uiPriority w:val="99"/>
    <w:rsid w:val="00F7501E"/>
    <w:pPr>
      <w:spacing w:before="640"/>
      <w:ind w:right="2268"/>
      <w:jc w:val="left"/>
    </w:pPr>
    <w:rPr>
      <w:sz w:val="28"/>
      <w:lang w:val="en-US"/>
    </w:rPr>
  </w:style>
  <w:style w:type="paragraph" w:customStyle="1" w:styleId="TekstsN">
    <w:name w:val="TekstsN"/>
    <w:basedOn w:val="Normal"/>
    <w:uiPriority w:val="99"/>
    <w:rsid w:val="00F7501E"/>
    <w:pPr>
      <w:spacing w:after="320"/>
    </w:pPr>
    <w:rPr>
      <w:rFonts w:ascii="Teutonica" w:hAnsi="Teutonica"/>
    </w:rPr>
  </w:style>
  <w:style w:type="paragraph" w:styleId="BodyText">
    <w:name w:val="Body Text"/>
    <w:basedOn w:val="Normal"/>
    <w:link w:val="BodyTextChar"/>
    <w:uiPriority w:val="99"/>
    <w:semiHidden/>
    <w:rsid w:val="00F7501E"/>
    <w:rPr>
      <w:szCs w:val="24"/>
    </w:rPr>
  </w:style>
  <w:style w:type="character" w:customStyle="1" w:styleId="BodyTextChar">
    <w:name w:val="Body Text Char"/>
    <w:basedOn w:val="DefaultParagraphFont"/>
    <w:link w:val="BodyText"/>
    <w:uiPriority w:val="99"/>
    <w:semiHidden/>
    <w:rsid w:val="005F433F"/>
    <w:rPr>
      <w:sz w:val="24"/>
      <w:szCs w:val="20"/>
      <w:lang w:eastAsia="en-US"/>
    </w:rPr>
  </w:style>
  <w:style w:type="paragraph" w:customStyle="1" w:styleId="Amats">
    <w:name w:val="Amats"/>
    <w:basedOn w:val="Normal"/>
    <w:rsid w:val="00F7501E"/>
    <w:pPr>
      <w:tabs>
        <w:tab w:val="right" w:pos="9072"/>
      </w:tabs>
      <w:jc w:val="left"/>
    </w:pPr>
    <w:rPr>
      <w:lang w:val="en-US"/>
    </w:rPr>
  </w:style>
  <w:style w:type="paragraph" w:styleId="EndnoteText">
    <w:name w:val="endnote text"/>
    <w:basedOn w:val="Normal"/>
    <w:link w:val="EndnoteTextChar"/>
    <w:uiPriority w:val="99"/>
    <w:semiHidden/>
    <w:rsid w:val="009525F6"/>
    <w:rPr>
      <w:sz w:val="20"/>
    </w:rPr>
  </w:style>
  <w:style w:type="character" w:customStyle="1" w:styleId="EndnoteTextChar">
    <w:name w:val="Endnote Text Char"/>
    <w:basedOn w:val="DefaultParagraphFont"/>
    <w:link w:val="EndnoteText"/>
    <w:uiPriority w:val="99"/>
    <w:semiHidden/>
    <w:locked/>
    <w:rsid w:val="009525F6"/>
    <w:rPr>
      <w:lang w:eastAsia="en-US"/>
    </w:rPr>
  </w:style>
  <w:style w:type="character" w:styleId="EndnoteReference">
    <w:name w:val="endnote reference"/>
    <w:basedOn w:val="DefaultParagraphFont"/>
    <w:uiPriority w:val="99"/>
    <w:semiHidden/>
    <w:rsid w:val="009525F6"/>
    <w:rPr>
      <w:rFonts w:cs="Times New Roman"/>
      <w:vertAlign w:val="superscript"/>
    </w:rPr>
  </w:style>
  <w:style w:type="character" w:styleId="CommentReference">
    <w:name w:val="annotation reference"/>
    <w:basedOn w:val="DefaultParagraphFont"/>
    <w:uiPriority w:val="99"/>
    <w:semiHidden/>
    <w:rsid w:val="00632D00"/>
    <w:rPr>
      <w:rFonts w:cs="Times New Roman"/>
      <w:sz w:val="16"/>
    </w:rPr>
  </w:style>
  <w:style w:type="paragraph" w:styleId="CommentText">
    <w:name w:val="annotation text"/>
    <w:basedOn w:val="Normal"/>
    <w:link w:val="CommentTextChar"/>
    <w:uiPriority w:val="99"/>
    <w:semiHidden/>
    <w:rsid w:val="00632D00"/>
    <w:rPr>
      <w:sz w:val="20"/>
    </w:rPr>
  </w:style>
  <w:style w:type="character" w:customStyle="1" w:styleId="CommentTextChar">
    <w:name w:val="Comment Text Char"/>
    <w:basedOn w:val="DefaultParagraphFont"/>
    <w:link w:val="CommentText"/>
    <w:uiPriority w:val="99"/>
    <w:semiHidden/>
    <w:locked/>
    <w:rsid w:val="00632D00"/>
    <w:rPr>
      <w:lang w:eastAsia="en-US"/>
    </w:rPr>
  </w:style>
  <w:style w:type="paragraph" w:styleId="CommentSubject">
    <w:name w:val="annotation subject"/>
    <w:basedOn w:val="CommentText"/>
    <w:next w:val="CommentText"/>
    <w:link w:val="CommentSubjectChar"/>
    <w:uiPriority w:val="99"/>
    <w:semiHidden/>
    <w:rsid w:val="00632D00"/>
    <w:rPr>
      <w:b/>
      <w:bCs/>
    </w:rPr>
  </w:style>
  <w:style w:type="character" w:customStyle="1" w:styleId="CommentSubjectChar">
    <w:name w:val="Comment Subject Char"/>
    <w:basedOn w:val="CommentTextChar"/>
    <w:link w:val="CommentSubject"/>
    <w:uiPriority w:val="99"/>
    <w:semiHidden/>
    <w:locked/>
    <w:rsid w:val="00632D00"/>
    <w:rPr>
      <w:b/>
      <w:lang w:eastAsia="en-US"/>
    </w:rPr>
  </w:style>
  <w:style w:type="character" w:styleId="Strong">
    <w:name w:val="Strong"/>
    <w:basedOn w:val="DefaultParagraphFont"/>
    <w:uiPriority w:val="99"/>
    <w:qFormat/>
    <w:rsid w:val="00E50CE8"/>
    <w:rPr>
      <w:rFonts w:cs="Times New Roman"/>
      <w:b/>
    </w:rPr>
  </w:style>
  <w:style w:type="paragraph" w:styleId="FootnoteText">
    <w:name w:val="footnote text"/>
    <w:basedOn w:val="Normal"/>
    <w:link w:val="FootnoteTextChar"/>
    <w:uiPriority w:val="99"/>
    <w:semiHidden/>
    <w:rsid w:val="00901124"/>
    <w:rPr>
      <w:sz w:val="20"/>
    </w:rPr>
  </w:style>
  <w:style w:type="character" w:customStyle="1" w:styleId="FootnoteTextChar">
    <w:name w:val="Footnote Text Char"/>
    <w:basedOn w:val="DefaultParagraphFont"/>
    <w:link w:val="FootnoteText"/>
    <w:uiPriority w:val="99"/>
    <w:semiHidden/>
    <w:rsid w:val="00901124"/>
    <w:rPr>
      <w:sz w:val="20"/>
      <w:szCs w:val="20"/>
      <w:lang w:eastAsia="en-US"/>
    </w:rPr>
  </w:style>
  <w:style w:type="character" w:styleId="FootnoteReference">
    <w:name w:val="footnote reference"/>
    <w:basedOn w:val="DefaultParagraphFont"/>
    <w:uiPriority w:val="99"/>
    <w:semiHidden/>
    <w:rsid w:val="00901124"/>
    <w:rPr>
      <w:rFonts w:cs="Times New Roman"/>
      <w:vertAlign w:val="superscript"/>
    </w:rPr>
  </w:style>
  <w:style w:type="paragraph" w:styleId="ListParagraph">
    <w:name w:val="List Paragraph"/>
    <w:basedOn w:val="Normal"/>
    <w:uiPriority w:val="34"/>
    <w:qFormat/>
    <w:rsid w:val="003D6503"/>
    <w:pPr>
      <w:ind w:left="720"/>
      <w:contextualSpacing/>
    </w:pPr>
  </w:style>
  <w:style w:type="table" w:styleId="TableGrid">
    <w:name w:val="Table Grid"/>
    <w:basedOn w:val="TableNormal"/>
    <w:locked/>
    <w:rsid w:val="00EF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B36"/>
    <w:rPr>
      <w:color w:val="0000FF" w:themeColor="hyperlink"/>
      <w:u w:val="single"/>
    </w:rPr>
  </w:style>
  <w:style w:type="character" w:styleId="FollowedHyperlink">
    <w:name w:val="FollowedHyperlink"/>
    <w:basedOn w:val="DefaultParagraphFont"/>
    <w:uiPriority w:val="99"/>
    <w:semiHidden/>
    <w:unhideWhenUsed/>
    <w:rsid w:val="007C6DC2"/>
    <w:rPr>
      <w:color w:val="800080" w:themeColor="followedHyperlink"/>
      <w:u w:val="single"/>
    </w:rPr>
  </w:style>
  <w:style w:type="paragraph" w:styleId="Revision">
    <w:name w:val="Revision"/>
    <w:hidden/>
    <w:uiPriority w:val="99"/>
    <w:semiHidden/>
    <w:rsid w:val="004E65A0"/>
    <w:rPr>
      <w:sz w:val="24"/>
      <w:szCs w:val="20"/>
      <w:lang w:eastAsia="en-US"/>
    </w:rPr>
  </w:style>
  <w:style w:type="paragraph" w:styleId="Title">
    <w:name w:val="Title"/>
    <w:basedOn w:val="Normal"/>
    <w:next w:val="Normal"/>
    <w:link w:val="TitleChar"/>
    <w:qFormat/>
    <w:locked/>
    <w:rsid w:val="00C670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670CF"/>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01E"/>
    <w:pPr>
      <w:jc w:val="both"/>
    </w:pPr>
    <w:rPr>
      <w:sz w:val="24"/>
      <w:szCs w:val="20"/>
      <w:lang w:eastAsia="en-US"/>
    </w:rPr>
  </w:style>
  <w:style w:type="paragraph" w:styleId="Heading1">
    <w:name w:val="heading 1"/>
    <w:basedOn w:val="Normal"/>
    <w:link w:val="Heading1Char"/>
    <w:autoRedefine/>
    <w:uiPriority w:val="99"/>
    <w:qFormat/>
    <w:rsid w:val="00846CA2"/>
    <w:pPr>
      <w:keepNext/>
      <w:keepLines/>
      <w:outlineLvl w:val="0"/>
    </w:pPr>
    <w:rPr>
      <w:b/>
      <w:kern w:val="28"/>
      <w:sz w:val="32"/>
    </w:rPr>
  </w:style>
  <w:style w:type="paragraph" w:styleId="Heading2">
    <w:name w:val="heading 2"/>
    <w:basedOn w:val="Normal"/>
    <w:link w:val="Heading2Char"/>
    <w:autoRedefine/>
    <w:uiPriority w:val="99"/>
    <w:qFormat/>
    <w:rsid w:val="00F7501E"/>
    <w:pPr>
      <w:keepLines/>
      <w:numPr>
        <w:ilvl w:val="1"/>
        <w:numId w:val="1"/>
      </w:numPr>
      <w:spacing w:before="320"/>
      <w:outlineLvl w:val="1"/>
    </w:pPr>
  </w:style>
  <w:style w:type="paragraph" w:styleId="Heading3">
    <w:name w:val="heading 3"/>
    <w:basedOn w:val="Normal"/>
    <w:link w:val="Heading3Char"/>
    <w:autoRedefine/>
    <w:uiPriority w:val="99"/>
    <w:qFormat/>
    <w:rsid w:val="00F7501E"/>
    <w:pPr>
      <w:keepLines/>
      <w:numPr>
        <w:ilvl w:val="2"/>
        <w:numId w:val="1"/>
      </w:numPr>
      <w:spacing w:before="320"/>
      <w:outlineLvl w:val="2"/>
    </w:pPr>
  </w:style>
  <w:style w:type="paragraph" w:styleId="Heading4">
    <w:name w:val="heading 4"/>
    <w:basedOn w:val="Normal"/>
    <w:link w:val="Heading4Char"/>
    <w:autoRedefine/>
    <w:uiPriority w:val="99"/>
    <w:qFormat/>
    <w:rsid w:val="000B17F9"/>
    <w:pPr>
      <w:keepLines/>
      <w:spacing w:before="360"/>
      <w:jc w:val="left"/>
      <w:outlineLvl w:val="3"/>
    </w:pPr>
    <w:rPr>
      <w:sz w:val="28"/>
      <w:szCs w:val="28"/>
    </w:rPr>
  </w:style>
  <w:style w:type="paragraph" w:styleId="Heading5">
    <w:name w:val="heading 5"/>
    <w:basedOn w:val="Normal"/>
    <w:link w:val="Heading5Char"/>
    <w:autoRedefine/>
    <w:uiPriority w:val="99"/>
    <w:qFormat/>
    <w:rsid w:val="00F7501E"/>
    <w:pPr>
      <w:numPr>
        <w:ilvl w:val="4"/>
        <w:numId w:val="1"/>
      </w:numPr>
      <w:spacing w:before="160"/>
      <w:outlineLvl w:val="4"/>
    </w:pPr>
    <w:rPr>
      <w:sz w:val="22"/>
    </w:rPr>
  </w:style>
  <w:style w:type="paragraph" w:styleId="Heading6">
    <w:name w:val="heading 6"/>
    <w:basedOn w:val="Normal"/>
    <w:link w:val="Heading6Char"/>
    <w:autoRedefine/>
    <w:uiPriority w:val="99"/>
    <w:qFormat/>
    <w:rsid w:val="00F7501E"/>
    <w:pPr>
      <w:keepLines/>
      <w:numPr>
        <w:ilvl w:val="5"/>
        <w:numId w:val="1"/>
      </w:numPr>
      <w:outlineLvl w:val="5"/>
    </w:pPr>
    <w:rPr>
      <w:sz w:val="22"/>
    </w:rPr>
  </w:style>
  <w:style w:type="paragraph" w:styleId="Heading7">
    <w:name w:val="heading 7"/>
    <w:basedOn w:val="Normal"/>
    <w:link w:val="Heading7Char"/>
    <w:autoRedefine/>
    <w:uiPriority w:val="99"/>
    <w:qFormat/>
    <w:rsid w:val="00F7501E"/>
    <w:pPr>
      <w:keepLines/>
      <w:numPr>
        <w:ilvl w:val="6"/>
        <w:numId w:val="1"/>
      </w:numPr>
      <w:outlineLvl w:val="6"/>
    </w:pPr>
    <w:rPr>
      <w:sz w:val="22"/>
    </w:rPr>
  </w:style>
  <w:style w:type="paragraph" w:styleId="Heading8">
    <w:name w:val="heading 8"/>
    <w:basedOn w:val="Normal"/>
    <w:link w:val="Heading8Char"/>
    <w:autoRedefine/>
    <w:uiPriority w:val="99"/>
    <w:qFormat/>
    <w:rsid w:val="00F7501E"/>
    <w:pPr>
      <w:keepLines/>
      <w:numPr>
        <w:ilvl w:val="7"/>
        <w:numId w:val="1"/>
      </w:numPr>
      <w:outlineLvl w:val="7"/>
    </w:pPr>
    <w:rPr>
      <w:sz w:val="22"/>
    </w:rPr>
  </w:style>
  <w:style w:type="paragraph" w:styleId="Heading9">
    <w:name w:val="heading 9"/>
    <w:basedOn w:val="Normal"/>
    <w:link w:val="Heading9Char"/>
    <w:autoRedefine/>
    <w:uiPriority w:val="99"/>
    <w:qFormat/>
    <w:rsid w:val="00F7501E"/>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6CA2"/>
    <w:rPr>
      <w:b/>
      <w:kern w:val="28"/>
      <w:sz w:val="32"/>
      <w:szCs w:val="20"/>
      <w:lang w:eastAsia="en-US"/>
    </w:rPr>
  </w:style>
  <w:style w:type="character" w:customStyle="1" w:styleId="Heading2Char">
    <w:name w:val="Heading 2 Char"/>
    <w:basedOn w:val="DefaultParagraphFont"/>
    <w:link w:val="Heading2"/>
    <w:uiPriority w:val="9"/>
    <w:semiHidden/>
    <w:rsid w:val="005F433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F433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rsid w:val="000B17F9"/>
    <w:rPr>
      <w:sz w:val="28"/>
      <w:szCs w:val="28"/>
      <w:lang w:eastAsia="en-US"/>
    </w:rPr>
  </w:style>
  <w:style w:type="character" w:customStyle="1" w:styleId="Heading5Char">
    <w:name w:val="Heading 5 Char"/>
    <w:basedOn w:val="DefaultParagraphFont"/>
    <w:link w:val="Heading5"/>
    <w:uiPriority w:val="9"/>
    <w:semiHidden/>
    <w:rsid w:val="005F433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433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433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433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433F"/>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F7501E"/>
    <w:rPr>
      <w:rFonts w:ascii="Tahoma" w:hAnsi="Tahoma" w:cs="Tahoma"/>
      <w:sz w:val="16"/>
      <w:szCs w:val="16"/>
    </w:rPr>
  </w:style>
  <w:style w:type="character" w:customStyle="1" w:styleId="BalloonTextChar">
    <w:name w:val="Balloon Text Char"/>
    <w:basedOn w:val="DefaultParagraphFont"/>
    <w:link w:val="BalloonText"/>
    <w:uiPriority w:val="99"/>
    <w:semiHidden/>
    <w:rsid w:val="00F7501E"/>
    <w:rPr>
      <w:rFonts w:ascii="Tahoma" w:hAnsi="Tahoma"/>
      <w:sz w:val="16"/>
      <w:lang w:eastAsia="en-US"/>
    </w:rPr>
  </w:style>
  <w:style w:type="character" w:styleId="PageNumber">
    <w:name w:val="page number"/>
    <w:basedOn w:val="DefaultParagraphFont"/>
    <w:uiPriority w:val="99"/>
    <w:semiHidden/>
    <w:rsid w:val="00F7501E"/>
    <w:rPr>
      <w:rFonts w:cs="Times New Roman"/>
    </w:rPr>
  </w:style>
  <w:style w:type="paragraph" w:styleId="Header">
    <w:name w:val="header"/>
    <w:basedOn w:val="Normal"/>
    <w:link w:val="HeaderChar"/>
    <w:uiPriority w:val="99"/>
    <w:semiHidden/>
    <w:rsid w:val="00F7501E"/>
    <w:pPr>
      <w:tabs>
        <w:tab w:val="center" w:pos="4153"/>
        <w:tab w:val="right" w:pos="8306"/>
      </w:tabs>
    </w:pPr>
  </w:style>
  <w:style w:type="character" w:customStyle="1" w:styleId="HeaderChar">
    <w:name w:val="Header Char"/>
    <w:basedOn w:val="DefaultParagraphFont"/>
    <w:link w:val="Header"/>
    <w:uiPriority w:val="99"/>
    <w:semiHidden/>
    <w:rsid w:val="005F433F"/>
    <w:rPr>
      <w:sz w:val="24"/>
      <w:szCs w:val="20"/>
      <w:lang w:eastAsia="en-US"/>
    </w:rPr>
  </w:style>
  <w:style w:type="paragraph" w:customStyle="1" w:styleId="TekstsN1">
    <w:name w:val="TekstsN1"/>
    <w:basedOn w:val="Normal"/>
    <w:autoRedefine/>
    <w:rsid w:val="00F7501E"/>
    <w:pPr>
      <w:keepLines/>
      <w:numPr>
        <w:numId w:val="5"/>
      </w:numPr>
      <w:spacing w:before="320"/>
      <w:outlineLvl w:val="0"/>
    </w:pPr>
  </w:style>
  <w:style w:type="paragraph" w:styleId="Footer">
    <w:name w:val="footer"/>
    <w:basedOn w:val="Normal"/>
    <w:link w:val="FooterChar"/>
    <w:uiPriority w:val="99"/>
    <w:semiHidden/>
    <w:rsid w:val="00F7501E"/>
    <w:pPr>
      <w:tabs>
        <w:tab w:val="center" w:pos="4153"/>
        <w:tab w:val="right" w:pos="8306"/>
      </w:tabs>
    </w:pPr>
  </w:style>
  <w:style w:type="character" w:customStyle="1" w:styleId="FooterChar">
    <w:name w:val="Footer Char"/>
    <w:basedOn w:val="DefaultParagraphFont"/>
    <w:link w:val="Footer"/>
    <w:uiPriority w:val="99"/>
    <w:semiHidden/>
    <w:rsid w:val="005F433F"/>
    <w:rPr>
      <w:sz w:val="24"/>
      <w:szCs w:val="20"/>
      <w:lang w:eastAsia="en-US"/>
    </w:rPr>
  </w:style>
  <w:style w:type="paragraph" w:customStyle="1" w:styleId="Teksts1">
    <w:name w:val="Teksts1"/>
    <w:basedOn w:val="Normal"/>
    <w:rsid w:val="00F7501E"/>
    <w:pPr>
      <w:spacing w:after="320"/>
    </w:pPr>
  </w:style>
  <w:style w:type="paragraph" w:customStyle="1" w:styleId="Teksts2">
    <w:name w:val="Teksts2"/>
    <w:basedOn w:val="Normal"/>
    <w:rsid w:val="00F7501E"/>
  </w:style>
  <w:style w:type="paragraph" w:customStyle="1" w:styleId="Teksts3">
    <w:name w:val="Teksts3"/>
    <w:basedOn w:val="Teksts1"/>
    <w:uiPriority w:val="99"/>
    <w:rsid w:val="00F7501E"/>
    <w:pPr>
      <w:spacing w:after="160"/>
    </w:pPr>
  </w:style>
  <w:style w:type="paragraph" w:customStyle="1" w:styleId="TekstsN2">
    <w:name w:val="TekstsN2"/>
    <w:basedOn w:val="Normal"/>
    <w:autoRedefine/>
    <w:rsid w:val="00F7501E"/>
    <w:pPr>
      <w:keepLines/>
      <w:numPr>
        <w:ilvl w:val="1"/>
        <w:numId w:val="5"/>
      </w:numPr>
      <w:spacing w:before="320"/>
      <w:outlineLvl w:val="1"/>
    </w:pPr>
  </w:style>
  <w:style w:type="paragraph" w:customStyle="1" w:styleId="TekstsN3">
    <w:name w:val="TekstsN3"/>
    <w:basedOn w:val="Normal"/>
    <w:autoRedefine/>
    <w:rsid w:val="00F7501E"/>
    <w:pPr>
      <w:keepLines/>
      <w:numPr>
        <w:ilvl w:val="2"/>
        <w:numId w:val="5"/>
      </w:numPr>
      <w:spacing w:before="320"/>
      <w:outlineLvl w:val="2"/>
    </w:pPr>
  </w:style>
  <w:style w:type="paragraph" w:customStyle="1" w:styleId="Datums">
    <w:name w:val="Datums"/>
    <w:basedOn w:val="Normal"/>
    <w:next w:val="Normal"/>
    <w:uiPriority w:val="99"/>
    <w:rsid w:val="00F7501E"/>
    <w:pPr>
      <w:spacing w:before="1700"/>
      <w:jc w:val="left"/>
    </w:pPr>
    <w:rPr>
      <w:lang w:val="en-US"/>
    </w:rPr>
  </w:style>
  <w:style w:type="paragraph" w:customStyle="1" w:styleId="Adrese">
    <w:name w:val="Adrese"/>
    <w:basedOn w:val="Normal"/>
    <w:uiPriority w:val="99"/>
    <w:rsid w:val="00F7501E"/>
    <w:pPr>
      <w:jc w:val="left"/>
    </w:pPr>
    <w:rPr>
      <w:lang w:val="en-US"/>
    </w:rPr>
  </w:style>
  <w:style w:type="paragraph" w:customStyle="1" w:styleId="Uzruna">
    <w:name w:val="Uzruna"/>
    <w:basedOn w:val="Normal"/>
    <w:next w:val="Teksts1"/>
    <w:rsid w:val="00F7501E"/>
    <w:pPr>
      <w:spacing w:before="320" w:after="320"/>
      <w:jc w:val="left"/>
    </w:pPr>
    <w:rPr>
      <w:lang w:val="en-US"/>
    </w:rPr>
  </w:style>
  <w:style w:type="paragraph" w:customStyle="1" w:styleId="Nobeigums">
    <w:name w:val="Nobeigums"/>
    <w:basedOn w:val="Normal"/>
    <w:uiPriority w:val="99"/>
    <w:rsid w:val="00F7501E"/>
    <w:pPr>
      <w:jc w:val="left"/>
    </w:pPr>
    <w:rPr>
      <w:lang w:val="en-US"/>
    </w:rPr>
  </w:style>
  <w:style w:type="paragraph" w:customStyle="1" w:styleId="Autors">
    <w:name w:val="Autors"/>
    <w:basedOn w:val="Normal"/>
    <w:next w:val="Normal"/>
    <w:rsid w:val="00F7501E"/>
    <w:pPr>
      <w:tabs>
        <w:tab w:val="right" w:pos="9072"/>
      </w:tabs>
      <w:spacing w:before="1440"/>
      <w:jc w:val="left"/>
    </w:pPr>
    <w:rPr>
      <w:lang w:val="en-US"/>
    </w:rPr>
  </w:style>
  <w:style w:type="paragraph" w:customStyle="1" w:styleId="Valsts">
    <w:name w:val="Valsts"/>
    <w:basedOn w:val="Normal"/>
    <w:uiPriority w:val="99"/>
    <w:rsid w:val="00F7501E"/>
    <w:pPr>
      <w:jc w:val="left"/>
    </w:pPr>
    <w:rPr>
      <w:caps/>
      <w:lang w:val="en-US"/>
    </w:rPr>
  </w:style>
  <w:style w:type="paragraph" w:customStyle="1" w:styleId="Registrnum">
    <w:name w:val="Registr. num"/>
    <w:basedOn w:val="Normal"/>
    <w:next w:val="Adrese"/>
    <w:uiPriority w:val="99"/>
    <w:rsid w:val="00F7501E"/>
    <w:pPr>
      <w:spacing w:after="320"/>
      <w:jc w:val="left"/>
    </w:pPr>
    <w:rPr>
      <w:lang w:val="en-US"/>
    </w:rPr>
  </w:style>
  <w:style w:type="paragraph" w:customStyle="1" w:styleId="Nosaukums">
    <w:name w:val="Nosaukums"/>
    <w:basedOn w:val="Normal"/>
    <w:next w:val="Normal"/>
    <w:uiPriority w:val="99"/>
    <w:rsid w:val="00F7501E"/>
    <w:pPr>
      <w:spacing w:before="640"/>
      <w:ind w:right="2268"/>
      <w:jc w:val="left"/>
    </w:pPr>
    <w:rPr>
      <w:sz w:val="28"/>
      <w:lang w:val="en-US"/>
    </w:rPr>
  </w:style>
  <w:style w:type="paragraph" w:customStyle="1" w:styleId="TekstsN">
    <w:name w:val="TekstsN"/>
    <w:basedOn w:val="Normal"/>
    <w:uiPriority w:val="99"/>
    <w:rsid w:val="00F7501E"/>
    <w:pPr>
      <w:spacing w:after="320"/>
    </w:pPr>
    <w:rPr>
      <w:rFonts w:ascii="Teutonica" w:hAnsi="Teutonica"/>
    </w:rPr>
  </w:style>
  <w:style w:type="paragraph" w:styleId="BodyText">
    <w:name w:val="Body Text"/>
    <w:basedOn w:val="Normal"/>
    <w:link w:val="BodyTextChar"/>
    <w:uiPriority w:val="99"/>
    <w:semiHidden/>
    <w:rsid w:val="00F7501E"/>
    <w:rPr>
      <w:szCs w:val="24"/>
    </w:rPr>
  </w:style>
  <w:style w:type="character" w:customStyle="1" w:styleId="BodyTextChar">
    <w:name w:val="Body Text Char"/>
    <w:basedOn w:val="DefaultParagraphFont"/>
    <w:link w:val="BodyText"/>
    <w:uiPriority w:val="99"/>
    <w:semiHidden/>
    <w:rsid w:val="005F433F"/>
    <w:rPr>
      <w:sz w:val="24"/>
      <w:szCs w:val="20"/>
      <w:lang w:eastAsia="en-US"/>
    </w:rPr>
  </w:style>
  <w:style w:type="paragraph" w:customStyle="1" w:styleId="Amats">
    <w:name w:val="Amats"/>
    <w:basedOn w:val="Normal"/>
    <w:rsid w:val="00F7501E"/>
    <w:pPr>
      <w:tabs>
        <w:tab w:val="right" w:pos="9072"/>
      </w:tabs>
      <w:jc w:val="left"/>
    </w:pPr>
    <w:rPr>
      <w:lang w:val="en-US"/>
    </w:rPr>
  </w:style>
  <w:style w:type="paragraph" w:styleId="EndnoteText">
    <w:name w:val="endnote text"/>
    <w:basedOn w:val="Normal"/>
    <w:link w:val="EndnoteTextChar"/>
    <w:uiPriority w:val="99"/>
    <w:semiHidden/>
    <w:rsid w:val="009525F6"/>
    <w:rPr>
      <w:sz w:val="20"/>
    </w:rPr>
  </w:style>
  <w:style w:type="character" w:customStyle="1" w:styleId="EndnoteTextChar">
    <w:name w:val="Endnote Text Char"/>
    <w:basedOn w:val="DefaultParagraphFont"/>
    <w:link w:val="EndnoteText"/>
    <w:uiPriority w:val="99"/>
    <w:semiHidden/>
    <w:locked/>
    <w:rsid w:val="009525F6"/>
    <w:rPr>
      <w:lang w:eastAsia="en-US"/>
    </w:rPr>
  </w:style>
  <w:style w:type="character" w:styleId="EndnoteReference">
    <w:name w:val="endnote reference"/>
    <w:basedOn w:val="DefaultParagraphFont"/>
    <w:uiPriority w:val="99"/>
    <w:semiHidden/>
    <w:rsid w:val="009525F6"/>
    <w:rPr>
      <w:rFonts w:cs="Times New Roman"/>
      <w:vertAlign w:val="superscript"/>
    </w:rPr>
  </w:style>
  <w:style w:type="character" w:styleId="CommentReference">
    <w:name w:val="annotation reference"/>
    <w:basedOn w:val="DefaultParagraphFont"/>
    <w:uiPriority w:val="99"/>
    <w:semiHidden/>
    <w:rsid w:val="00632D00"/>
    <w:rPr>
      <w:rFonts w:cs="Times New Roman"/>
      <w:sz w:val="16"/>
    </w:rPr>
  </w:style>
  <w:style w:type="paragraph" w:styleId="CommentText">
    <w:name w:val="annotation text"/>
    <w:basedOn w:val="Normal"/>
    <w:link w:val="CommentTextChar"/>
    <w:uiPriority w:val="99"/>
    <w:semiHidden/>
    <w:rsid w:val="00632D00"/>
    <w:rPr>
      <w:sz w:val="20"/>
    </w:rPr>
  </w:style>
  <w:style w:type="character" w:customStyle="1" w:styleId="CommentTextChar">
    <w:name w:val="Comment Text Char"/>
    <w:basedOn w:val="DefaultParagraphFont"/>
    <w:link w:val="CommentText"/>
    <w:uiPriority w:val="99"/>
    <w:semiHidden/>
    <w:locked/>
    <w:rsid w:val="00632D00"/>
    <w:rPr>
      <w:lang w:eastAsia="en-US"/>
    </w:rPr>
  </w:style>
  <w:style w:type="paragraph" w:styleId="CommentSubject">
    <w:name w:val="annotation subject"/>
    <w:basedOn w:val="CommentText"/>
    <w:next w:val="CommentText"/>
    <w:link w:val="CommentSubjectChar"/>
    <w:uiPriority w:val="99"/>
    <w:semiHidden/>
    <w:rsid w:val="00632D00"/>
    <w:rPr>
      <w:b/>
      <w:bCs/>
    </w:rPr>
  </w:style>
  <w:style w:type="character" w:customStyle="1" w:styleId="CommentSubjectChar">
    <w:name w:val="Comment Subject Char"/>
    <w:basedOn w:val="CommentTextChar"/>
    <w:link w:val="CommentSubject"/>
    <w:uiPriority w:val="99"/>
    <w:semiHidden/>
    <w:locked/>
    <w:rsid w:val="00632D00"/>
    <w:rPr>
      <w:b/>
      <w:lang w:eastAsia="en-US"/>
    </w:rPr>
  </w:style>
  <w:style w:type="character" w:styleId="Strong">
    <w:name w:val="Strong"/>
    <w:basedOn w:val="DefaultParagraphFont"/>
    <w:uiPriority w:val="99"/>
    <w:qFormat/>
    <w:rsid w:val="00E50CE8"/>
    <w:rPr>
      <w:rFonts w:cs="Times New Roman"/>
      <w:b/>
    </w:rPr>
  </w:style>
  <w:style w:type="paragraph" w:styleId="FootnoteText">
    <w:name w:val="footnote text"/>
    <w:basedOn w:val="Normal"/>
    <w:link w:val="FootnoteTextChar"/>
    <w:uiPriority w:val="99"/>
    <w:semiHidden/>
    <w:rsid w:val="00901124"/>
    <w:rPr>
      <w:sz w:val="20"/>
    </w:rPr>
  </w:style>
  <w:style w:type="character" w:customStyle="1" w:styleId="FootnoteTextChar">
    <w:name w:val="Footnote Text Char"/>
    <w:basedOn w:val="DefaultParagraphFont"/>
    <w:link w:val="FootnoteText"/>
    <w:uiPriority w:val="99"/>
    <w:semiHidden/>
    <w:rsid w:val="00901124"/>
    <w:rPr>
      <w:sz w:val="20"/>
      <w:szCs w:val="20"/>
      <w:lang w:eastAsia="en-US"/>
    </w:rPr>
  </w:style>
  <w:style w:type="character" w:styleId="FootnoteReference">
    <w:name w:val="footnote reference"/>
    <w:basedOn w:val="DefaultParagraphFont"/>
    <w:uiPriority w:val="99"/>
    <w:semiHidden/>
    <w:rsid w:val="00901124"/>
    <w:rPr>
      <w:rFonts w:cs="Times New Roman"/>
      <w:vertAlign w:val="superscript"/>
    </w:rPr>
  </w:style>
  <w:style w:type="paragraph" w:styleId="ListParagraph">
    <w:name w:val="List Paragraph"/>
    <w:basedOn w:val="Normal"/>
    <w:uiPriority w:val="34"/>
    <w:qFormat/>
    <w:rsid w:val="003D6503"/>
    <w:pPr>
      <w:ind w:left="720"/>
      <w:contextualSpacing/>
    </w:pPr>
  </w:style>
  <w:style w:type="table" w:styleId="TableGrid">
    <w:name w:val="Table Grid"/>
    <w:basedOn w:val="TableNormal"/>
    <w:locked/>
    <w:rsid w:val="00EF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B36"/>
    <w:rPr>
      <w:color w:val="0000FF" w:themeColor="hyperlink"/>
      <w:u w:val="single"/>
    </w:rPr>
  </w:style>
  <w:style w:type="character" w:styleId="FollowedHyperlink">
    <w:name w:val="FollowedHyperlink"/>
    <w:basedOn w:val="DefaultParagraphFont"/>
    <w:uiPriority w:val="99"/>
    <w:semiHidden/>
    <w:unhideWhenUsed/>
    <w:rsid w:val="007C6DC2"/>
    <w:rPr>
      <w:color w:val="800080" w:themeColor="followedHyperlink"/>
      <w:u w:val="single"/>
    </w:rPr>
  </w:style>
  <w:style w:type="paragraph" w:styleId="Revision">
    <w:name w:val="Revision"/>
    <w:hidden/>
    <w:uiPriority w:val="99"/>
    <w:semiHidden/>
    <w:rsid w:val="004E65A0"/>
    <w:rPr>
      <w:sz w:val="24"/>
      <w:szCs w:val="20"/>
      <w:lang w:eastAsia="en-US"/>
    </w:rPr>
  </w:style>
  <w:style w:type="paragraph" w:styleId="Title">
    <w:name w:val="Title"/>
    <w:basedOn w:val="Normal"/>
    <w:next w:val="Normal"/>
    <w:link w:val="TitleChar"/>
    <w:qFormat/>
    <w:locked/>
    <w:rsid w:val="00C670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670C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1417">
      <w:bodyDiv w:val="1"/>
      <w:marLeft w:val="0"/>
      <w:marRight w:val="0"/>
      <w:marTop w:val="0"/>
      <w:marBottom w:val="0"/>
      <w:divBdr>
        <w:top w:val="none" w:sz="0" w:space="0" w:color="auto"/>
        <w:left w:val="none" w:sz="0" w:space="0" w:color="auto"/>
        <w:bottom w:val="none" w:sz="0" w:space="0" w:color="auto"/>
        <w:right w:val="none" w:sz="0" w:space="0" w:color="auto"/>
      </w:divBdr>
      <w:divsChild>
        <w:div w:id="1063219526">
          <w:marLeft w:val="0"/>
          <w:marRight w:val="0"/>
          <w:marTop w:val="0"/>
          <w:marBottom w:val="0"/>
          <w:divBdr>
            <w:top w:val="none" w:sz="0" w:space="0" w:color="auto"/>
            <w:left w:val="none" w:sz="0" w:space="0" w:color="auto"/>
            <w:bottom w:val="none" w:sz="0" w:space="0" w:color="auto"/>
            <w:right w:val="none" w:sz="0" w:space="0" w:color="auto"/>
          </w:divBdr>
        </w:div>
      </w:divsChild>
    </w:div>
    <w:div w:id="1065763295">
      <w:bodyDiv w:val="1"/>
      <w:marLeft w:val="0"/>
      <w:marRight w:val="0"/>
      <w:marTop w:val="0"/>
      <w:marBottom w:val="0"/>
      <w:divBdr>
        <w:top w:val="none" w:sz="0" w:space="0" w:color="auto"/>
        <w:left w:val="none" w:sz="0" w:space="0" w:color="auto"/>
        <w:bottom w:val="none" w:sz="0" w:space="0" w:color="auto"/>
        <w:right w:val="none" w:sz="0" w:space="0" w:color="auto"/>
      </w:divBdr>
      <w:divsChild>
        <w:div w:id="179928001">
          <w:marLeft w:val="0"/>
          <w:marRight w:val="0"/>
          <w:marTop w:val="0"/>
          <w:marBottom w:val="0"/>
          <w:divBdr>
            <w:top w:val="none" w:sz="0" w:space="0" w:color="auto"/>
            <w:left w:val="none" w:sz="0" w:space="0" w:color="auto"/>
            <w:bottom w:val="none" w:sz="0" w:space="0" w:color="auto"/>
            <w:right w:val="none" w:sz="0" w:space="0" w:color="auto"/>
          </w:divBdr>
          <w:divsChild>
            <w:div w:id="7734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855">
      <w:bodyDiv w:val="1"/>
      <w:marLeft w:val="0"/>
      <w:marRight w:val="0"/>
      <w:marTop w:val="0"/>
      <w:marBottom w:val="0"/>
      <w:divBdr>
        <w:top w:val="none" w:sz="0" w:space="0" w:color="auto"/>
        <w:left w:val="none" w:sz="0" w:space="0" w:color="auto"/>
        <w:bottom w:val="none" w:sz="0" w:space="0" w:color="auto"/>
        <w:right w:val="none" w:sz="0" w:space="0" w:color="auto"/>
      </w:divBdr>
      <w:divsChild>
        <w:div w:id="1532524394">
          <w:marLeft w:val="0"/>
          <w:marRight w:val="0"/>
          <w:marTop w:val="0"/>
          <w:marBottom w:val="0"/>
          <w:divBdr>
            <w:top w:val="none" w:sz="0" w:space="0" w:color="auto"/>
            <w:left w:val="none" w:sz="0" w:space="0" w:color="auto"/>
            <w:bottom w:val="none" w:sz="0" w:space="0" w:color="auto"/>
            <w:right w:val="none" w:sz="0" w:space="0" w:color="auto"/>
          </w:divBdr>
          <w:divsChild>
            <w:div w:id="271475324">
              <w:marLeft w:val="0"/>
              <w:marRight w:val="0"/>
              <w:marTop w:val="0"/>
              <w:marBottom w:val="0"/>
              <w:divBdr>
                <w:top w:val="none" w:sz="0" w:space="0" w:color="auto"/>
                <w:left w:val="none" w:sz="0" w:space="0" w:color="auto"/>
                <w:bottom w:val="none" w:sz="0" w:space="0" w:color="auto"/>
                <w:right w:val="none" w:sz="0" w:space="0" w:color="auto"/>
              </w:divBdr>
              <w:divsChild>
                <w:div w:id="1721905402">
                  <w:marLeft w:val="0"/>
                  <w:marRight w:val="0"/>
                  <w:marTop w:val="0"/>
                  <w:marBottom w:val="0"/>
                  <w:divBdr>
                    <w:top w:val="none" w:sz="0" w:space="0" w:color="auto"/>
                    <w:left w:val="none" w:sz="0" w:space="0" w:color="auto"/>
                    <w:bottom w:val="none" w:sz="0" w:space="0" w:color="auto"/>
                    <w:right w:val="none" w:sz="0" w:space="0" w:color="auto"/>
                  </w:divBdr>
                  <w:divsChild>
                    <w:div w:id="1123881840">
                      <w:marLeft w:val="0"/>
                      <w:marRight w:val="0"/>
                      <w:marTop w:val="0"/>
                      <w:marBottom w:val="0"/>
                      <w:divBdr>
                        <w:top w:val="none" w:sz="0" w:space="0" w:color="auto"/>
                        <w:left w:val="none" w:sz="0" w:space="0" w:color="auto"/>
                        <w:bottom w:val="none" w:sz="0" w:space="0" w:color="auto"/>
                        <w:right w:val="none" w:sz="0" w:space="0" w:color="auto"/>
                      </w:divBdr>
                      <w:divsChild>
                        <w:div w:id="1708993009">
                          <w:marLeft w:val="0"/>
                          <w:marRight w:val="0"/>
                          <w:marTop w:val="1275"/>
                          <w:marBottom w:val="0"/>
                          <w:divBdr>
                            <w:top w:val="none" w:sz="0" w:space="0" w:color="auto"/>
                            <w:left w:val="none" w:sz="0" w:space="0" w:color="auto"/>
                            <w:bottom w:val="none" w:sz="0" w:space="0" w:color="auto"/>
                            <w:right w:val="none" w:sz="0" w:space="0" w:color="auto"/>
                          </w:divBdr>
                          <w:divsChild>
                            <w:div w:id="961888371">
                              <w:marLeft w:val="0"/>
                              <w:marRight w:val="0"/>
                              <w:marTop w:val="0"/>
                              <w:marBottom w:val="0"/>
                              <w:divBdr>
                                <w:top w:val="single" w:sz="6" w:space="11" w:color="DDDDDD"/>
                                <w:left w:val="single" w:sz="6" w:space="8" w:color="DDDDDD"/>
                                <w:bottom w:val="single" w:sz="6" w:space="17" w:color="DDDDDD"/>
                                <w:right w:val="single" w:sz="6" w:space="4" w:color="DDDDDD"/>
                              </w:divBdr>
                              <w:divsChild>
                                <w:div w:id="1921913008">
                                  <w:marLeft w:val="0"/>
                                  <w:marRight w:val="0"/>
                                  <w:marTop w:val="300"/>
                                  <w:marBottom w:val="0"/>
                                  <w:divBdr>
                                    <w:top w:val="none" w:sz="0" w:space="0" w:color="auto"/>
                                    <w:left w:val="none" w:sz="0" w:space="0" w:color="auto"/>
                                    <w:bottom w:val="none" w:sz="0" w:space="0" w:color="auto"/>
                                    <w:right w:val="none" w:sz="0" w:space="0" w:color="auto"/>
                                  </w:divBdr>
                                  <w:divsChild>
                                    <w:div w:id="340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831">
                              <w:marLeft w:val="0"/>
                              <w:marRight w:val="0"/>
                              <w:marTop w:val="0"/>
                              <w:marBottom w:val="0"/>
                              <w:divBdr>
                                <w:top w:val="none" w:sz="0" w:space="0" w:color="auto"/>
                                <w:left w:val="none" w:sz="0" w:space="0" w:color="auto"/>
                                <w:bottom w:val="none" w:sz="0" w:space="0" w:color="auto"/>
                                <w:right w:val="none" w:sz="0" w:space="0" w:color="auto"/>
                              </w:divBdr>
                              <w:divsChild>
                                <w:div w:id="250313051">
                                  <w:marLeft w:val="0"/>
                                  <w:marRight w:val="0"/>
                                  <w:marTop w:val="0"/>
                                  <w:marBottom w:val="0"/>
                                  <w:divBdr>
                                    <w:top w:val="none" w:sz="0" w:space="0" w:color="auto"/>
                                    <w:left w:val="none" w:sz="0" w:space="0" w:color="auto"/>
                                    <w:bottom w:val="none" w:sz="0" w:space="0" w:color="auto"/>
                                    <w:right w:val="none" w:sz="0" w:space="0" w:color="auto"/>
                                  </w:divBdr>
                                </w:div>
                                <w:div w:id="1334575915">
                                  <w:marLeft w:val="0"/>
                                  <w:marRight w:val="0"/>
                                  <w:marTop w:val="0"/>
                                  <w:marBottom w:val="0"/>
                                  <w:divBdr>
                                    <w:top w:val="none" w:sz="0" w:space="0" w:color="auto"/>
                                    <w:left w:val="none" w:sz="0" w:space="0" w:color="auto"/>
                                    <w:bottom w:val="none" w:sz="0" w:space="0" w:color="auto"/>
                                    <w:right w:val="none" w:sz="0" w:space="0" w:color="auto"/>
                                  </w:divBdr>
                                </w:div>
                              </w:divsChild>
                            </w:div>
                            <w:div w:id="1518537878">
                              <w:marLeft w:val="0"/>
                              <w:marRight w:val="0"/>
                              <w:marTop w:val="0"/>
                              <w:marBottom w:val="0"/>
                              <w:divBdr>
                                <w:top w:val="none" w:sz="0" w:space="0" w:color="auto"/>
                                <w:left w:val="none" w:sz="0" w:space="0" w:color="auto"/>
                                <w:bottom w:val="none" w:sz="0" w:space="0" w:color="auto"/>
                                <w:right w:val="none" w:sz="0" w:space="0" w:color="auto"/>
                              </w:divBdr>
                            </w:div>
                          </w:divsChild>
                        </w:div>
                        <w:div w:id="877084934">
                          <w:marLeft w:val="0"/>
                          <w:marRight w:val="0"/>
                          <w:marTop w:val="0"/>
                          <w:marBottom w:val="0"/>
                          <w:divBdr>
                            <w:top w:val="none" w:sz="0" w:space="0" w:color="auto"/>
                            <w:left w:val="none" w:sz="0" w:space="0" w:color="auto"/>
                            <w:bottom w:val="none" w:sz="0" w:space="0" w:color="auto"/>
                            <w:right w:val="none" w:sz="0" w:space="0" w:color="auto"/>
                          </w:divBdr>
                          <w:divsChild>
                            <w:div w:id="562373950">
                              <w:marLeft w:val="0"/>
                              <w:marRight w:val="300"/>
                              <w:marTop w:val="75"/>
                              <w:marBottom w:val="0"/>
                              <w:divBdr>
                                <w:top w:val="none" w:sz="0" w:space="0" w:color="auto"/>
                                <w:left w:val="none" w:sz="0" w:space="0" w:color="auto"/>
                                <w:bottom w:val="none" w:sz="0" w:space="0" w:color="auto"/>
                                <w:right w:val="none" w:sz="0" w:space="0" w:color="auto"/>
                              </w:divBdr>
                            </w:div>
                            <w:div w:id="546451818">
                              <w:marLeft w:val="0"/>
                              <w:marRight w:val="0"/>
                              <w:marTop w:val="0"/>
                              <w:marBottom w:val="0"/>
                              <w:divBdr>
                                <w:top w:val="none" w:sz="0" w:space="0" w:color="auto"/>
                                <w:left w:val="none" w:sz="0" w:space="0" w:color="auto"/>
                                <w:bottom w:val="none" w:sz="0" w:space="0" w:color="auto"/>
                                <w:right w:val="none" w:sz="0" w:space="0" w:color="auto"/>
                              </w:divBdr>
                            </w:div>
                            <w:div w:id="1380863046">
                              <w:marLeft w:val="0"/>
                              <w:marRight w:val="450"/>
                              <w:marTop w:val="45"/>
                              <w:marBottom w:val="0"/>
                              <w:divBdr>
                                <w:top w:val="none" w:sz="0" w:space="0" w:color="auto"/>
                                <w:left w:val="none" w:sz="0" w:space="0" w:color="auto"/>
                                <w:bottom w:val="none" w:sz="0" w:space="0" w:color="auto"/>
                                <w:right w:val="none" w:sz="0" w:space="0" w:color="auto"/>
                              </w:divBdr>
                            </w:div>
                          </w:divsChild>
                        </w:div>
                        <w:div w:id="672418014">
                          <w:marLeft w:val="0"/>
                          <w:marRight w:val="0"/>
                          <w:marTop w:val="0"/>
                          <w:marBottom w:val="0"/>
                          <w:divBdr>
                            <w:top w:val="none" w:sz="0" w:space="0" w:color="auto"/>
                            <w:left w:val="none" w:sz="0" w:space="0" w:color="auto"/>
                            <w:bottom w:val="none" w:sz="0" w:space="0" w:color="auto"/>
                            <w:right w:val="none" w:sz="0" w:space="0" w:color="auto"/>
                          </w:divBdr>
                        </w:div>
                        <w:div w:id="2047673931">
                          <w:marLeft w:val="0"/>
                          <w:marRight w:val="0"/>
                          <w:marTop w:val="0"/>
                          <w:marBottom w:val="0"/>
                          <w:divBdr>
                            <w:top w:val="none" w:sz="0" w:space="0" w:color="auto"/>
                            <w:left w:val="none" w:sz="0" w:space="0" w:color="auto"/>
                            <w:bottom w:val="none" w:sz="0" w:space="0" w:color="auto"/>
                            <w:right w:val="none" w:sz="0" w:space="0" w:color="auto"/>
                          </w:divBdr>
                        </w:div>
                        <w:div w:id="1775246023">
                          <w:marLeft w:val="0"/>
                          <w:marRight w:val="0"/>
                          <w:marTop w:val="0"/>
                          <w:marBottom w:val="300"/>
                          <w:divBdr>
                            <w:top w:val="none" w:sz="0" w:space="0" w:color="auto"/>
                            <w:left w:val="none" w:sz="0" w:space="0" w:color="auto"/>
                            <w:bottom w:val="none" w:sz="0" w:space="0" w:color="auto"/>
                            <w:right w:val="none" w:sz="0" w:space="0" w:color="auto"/>
                          </w:divBdr>
                        </w:div>
                        <w:div w:id="1708141189">
                          <w:marLeft w:val="0"/>
                          <w:marRight w:val="0"/>
                          <w:marTop w:val="0"/>
                          <w:marBottom w:val="300"/>
                          <w:divBdr>
                            <w:top w:val="none" w:sz="0" w:space="0" w:color="auto"/>
                            <w:left w:val="none" w:sz="0" w:space="0" w:color="auto"/>
                            <w:bottom w:val="none" w:sz="0" w:space="0" w:color="auto"/>
                            <w:right w:val="none" w:sz="0" w:space="0" w:color="auto"/>
                          </w:divBdr>
                          <w:divsChild>
                            <w:div w:id="2017460667">
                              <w:marLeft w:val="0"/>
                              <w:marRight w:val="0"/>
                              <w:marTop w:val="0"/>
                              <w:marBottom w:val="0"/>
                              <w:divBdr>
                                <w:top w:val="none" w:sz="0" w:space="0" w:color="auto"/>
                                <w:left w:val="none" w:sz="0" w:space="0" w:color="auto"/>
                                <w:bottom w:val="none" w:sz="0" w:space="0" w:color="auto"/>
                                <w:right w:val="none" w:sz="0" w:space="0" w:color="auto"/>
                              </w:divBdr>
                              <w:divsChild>
                                <w:div w:id="430667277">
                                  <w:marLeft w:val="0"/>
                                  <w:marRight w:val="0"/>
                                  <w:marTop w:val="0"/>
                                  <w:marBottom w:val="0"/>
                                  <w:divBdr>
                                    <w:top w:val="none" w:sz="0" w:space="0" w:color="auto"/>
                                    <w:left w:val="none" w:sz="0" w:space="0" w:color="auto"/>
                                    <w:bottom w:val="none" w:sz="0" w:space="0" w:color="auto"/>
                                    <w:right w:val="none" w:sz="0" w:space="0" w:color="auto"/>
                                  </w:divBdr>
                                </w:div>
                                <w:div w:id="1930698000">
                                  <w:marLeft w:val="0"/>
                                  <w:marRight w:val="0"/>
                                  <w:marTop w:val="0"/>
                                  <w:marBottom w:val="0"/>
                                  <w:divBdr>
                                    <w:top w:val="none" w:sz="0" w:space="0" w:color="auto"/>
                                    <w:left w:val="none" w:sz="0" w:space="0" w:color="auto"/>
                                    <w:bottom w:val="none" w:sz="0" w:space="0" w:color="auto"/>
                                    <w:right w:val="none" w:sz="0" w:space="0" w:color="auto"/>
                                  </w:divBdr>
                                </w:div>
                                <w:div w:id="286854758">
                                  <w:marLeft w:val="0"/>
                                  <w:marRight w:val="0"/>
                                  <w:marTop w:val="0"/>
                                  <w:marBottom w:val="0"/>
                                  <w:divBdr>
                                    <w:top w:val="none" w:sz="0" w:space="0" w:color="auto"/>
                                    <w:left w:val="none" w:sz="0" w:space="0" w:color="auto"/>
                                    <w:bottom w:val="none" w:sz="0" w:space="0" w:color="auto"/>
                                    <w:right w:val="none" w:sz="0" w:space="0" w:color="auto"/>
                                  </w:divBdr>
                                </w:div>
                                <w:div w:id="1561139134">
                                  <w:marLeft w:val="0"/>
                                  <w:marRight w:val="0"/>
                                  <w:marTop w:val="0"/>
                                  <w:marBottom w:val="0"/>
                                  <w:divBdr>
                                    <w:top w:val="none" w:sz="0" w:space="0" w:color="auto"/>
                                    <w:left w:val="none" w:sz="0" w:space="0" w:color="auto"/>
                                    <w:bottom w:val="none" w:sz="0" w:space="0" w:color="auto"/>
                                    <w:right w:val="none" w:sz="0" w:space="0" w:color="auto"/>
                                  </w:divBdr>
                                </w:div>
                                <w:div w:id="1794665056">
                                  <w:marLeft w:val="0"/>
                                  <w:marRight w:val="0"/>
                                  <w:marTop w:val="0"/>
                                  <w:marBottom w:val="0"/>
                                  <w:divBdr>
                                    <w:top w:val="none" w:sz="0" w:space="0" w:color="auto"/>
                                    <w:left w:val="none" w:sz="0" w:space="0" w:color="auto"/>
                                    <w:bottom w:val="none" w:sz="0" w:space="0" w:color="auto"/>
                                    <w:right w:val="none" w:sz="0" w:space="0" w:color="auto"/>
                                  </w:divBdr>
                                </w:div>
                                <w:div w:id="30228463">
                                  <w:marLeft w:val="0"/>
                                  <w:marRight w:val="0"/>
                                  <w:marTop w:val="0"/>
                                  <w:marBottom w:val="0"/>
                                  <w:divBdr>
                                    <w:top w:val="none" w:sz="0" w:space="0" w:color="auto"/>
                                    <w:left w:val="none" w:sz="0" w:space="0" w:color="auto"/>
                                    <w:bottom w:val="none" w:sz="0" w:space="0" w:color="auto"/>
                                    <w:right w:val="none" w:sz="0" w:space="0" w:color="auto"/>
                                  </w:divBdr>
                                </w:div>
                                <w:div w:id="1446660021">
                                  <w:marLeft w:val="0"/>
                                  <w:marRight w:val="0"/>
                                  <w:marTop w:val="0"/>
                                  <w:marBottom w:val="0"/>
                                  <w:divBdr>
                                    <w:top w:val="none" w:sz="0" w:space="0" w:color="auto"/>
                                    <w:left w:val="none" w:sz="0" w:space="0" w:color="auto"/>
                                    <w:bottom w:val="none" w:sz="0" w:space="0" w:color="auto"/>
                                    <w:right w:val="none" w:sz="0" w:space="0" w:color="auto"/>
                                  </w:divBdr>
                                </w:div>
                                <w:div w:id="167402489">
                                  <w:marLeft w:val="0"/>
                                  <w:marRight w:val="0"/>
                                  <w:marTop w:val="0"/>
                                  <w:marBottom w:val="0"/>
                                  <w:divBdr>
                                    <w:top w:val="none" w:sz="0" w:space="0" w:color="auto"/>
                                    <w:left w:val="none" w:sz="0" w:space="0" w:color="auto"/>
                                    <w:bottom w:val="none" w:sz="0" w:space="0" w:color="auto"/>
                                    <w:right w:val="none" w:sz="0" w:space="0" w:color="auto"/>
                                  </w:divBdr>
                                </w:div>
                                <w:div w:id="162279758">
                                  <w:marLeft w:val="0"/>
                                  <w:marRight w:val="0"/>
                                  <w:marTop w:val="0"/>
                                  <w:marBottom w:val="0"/>
                                  <w:divBdr>
                                    <w:top w:val="none" w:sz="0" w:space="0" w:color="auto"/>
                                    <w:left w:val="none" w:sz="0" w:space="0" w:color="auto"/>
                                    <w:bottom w:val="none" w:sz="0" w:space="0" w:color="auto"/>
                                    <w:right w:val="none" w:sz="0" w:space="0" w:color="auto"/>
                                  </w:divBdr>
                                </w:div>
                                <w:div w:id="370226304">
                                  <w:marLeft w:val="0"/>
                                  <w:marRight w:val="0"/>
                                  <w:marTop w:val="0"/>
                                  <w:marBottom w:val="0"/>
                                  <w:divBdr>
                                    <w:top w:val="none" w:sz="0" w:space="0" w:color="auto"/>
                                    <w:left w:val="none" w:sz="0" w:space="0" w:color="auto"/>
                                    <w:bottom w:val="none" w:sz="0" w:space="0" w:color="auto"/>
                                    <w:right w:val="none" w:sz="0" w:space="0" w:color="auto"/>
                                  </w:divBdr>
                                </w:div>
                                <w:div w:id="791170832">
                                  <w:marLeft w:val="0"/>
                                  <w:marRight w:val="0"/>
                                  <w:marTop w:val="0"/>
                                  <w:marBottom w:val="0"/>
                                  <w:divBdr>
                                    <w:top w:val="none" w:sz="0" w:space="0" w:color="auto"/>
                                    <w:left w:val="none" w:sz="0" w:space="0" w:color="auto"/>
                                    <w:bottom w:val="none" w:sz="0" w:space="0" w:color="auto"/>
                                    <w:right w:val="none" w:sz="0" w:space="0" w:color="auto"/>
                                  </w:divBdr>
                                </w:div>
                                <w:div w:id="1064723892">
                                  <w:marLeft w:val="0"/>
                                  <w:marRight w:val="0"/>
                                  <w:marTop w:val="0"/>
                                  <w:marBottom w:val="0"/>
                                  <w:divBdr>
                                    <w:top w:val="none" w:sz="0" w:space="0" w:color="auto"/>
                                    <w:left w:val="none" w:sz="0" w:space="0" w:color="auto"/>
                                    <w:bottom w:val="none" w:sz="0" w:space="0" w:color="auto"/>
                                    <w:right w:val="none" w:sz="0" w:space="0" w:color="auto"/>
                                  </w:divBdr>
                                </w:div>
                                <w:div w:id="1134718621">
                                  <w:marLeft w:val="0"/>
                                  <w:marRight w:val="0"/>
                                  <w:marTop w:val="0"/>
                                  <w:marBottom w:val="0"/>
                                  <w:divBdr>
                                    <w:top w:val="none" w:sz="0" w:space="0" w:color="auto"/>
                                    <w:left w:val="none" w:sz="0" w:space="0" w:color="auto"/>
                                    <w:bottom w:val="none" w:sz="0" w:space="0" w:color="auto"/>
                                    <w:right w:val="none" w:sz="0" w:space="0" w:color="auto"/>
                                  </w:divBdr>
                                </w:div>
                                <w:div w:id="698313804">
                                  <w:marLeft w:val="0"/>
                                  <w:marRight w:val="0"/>
                                  <w:marTop w:val="0"/>
                                  <w:marBottom w:val="0"/>
                                  <w:divBdr>
                                    <w:top w:val="none" w:sz="0" w:space="0" w:color="auto"/>
                                    <w:left w:val="none" w:sz="0" w:space="0" w:color="auto"/>
                                    <w:bottom w:val="none" w:sz="0" w:space="0" w:color="auto"/>
                                    <w:right w:val="none" w:sz="0" w:space="0" w:color="auto"/>
                                  </w:divBdr>
                                </w:div>
                                <w:div w:id="1237208732">
                                  <w:marLeft w:val="0"/>
                                  <w:marRight w:val="0"/>
                                  <w:marTop w:val="0"/>
                                  <w:marBottom w:val="0"/>
                                  <w:divBdr>
                                    <w:top w:val="none" w:sz="0" w:space="0" w:color="auto"/>
                                    <w:left w:val="none" w:sz="0" w:space="0" w:color="auto"/>
                                    <w:bottom w:val="none" w:sz="0" w:space="0" w:color="auto"/>
                                    <w:right w:val="none" w:sz="0" w:space="0" w:color="auto"/>
                                  </w:divBdr>
                                </w:div>
                                <w:div w:id="1217471598">
                                  <w:marLeft w:val="0"/>
                                  <w:marRight w:val="0"/>
                                  <w:marTop w:val="0"/>
                                  <w:marBottom w:val="0"/>
                                  <w:divBdr>
                                    <w:top w:val="none" w:sz="0" w:space="0" w:color="auto"/>
                                    <w:left w:val="none" w:sz="0" w:space="0" w:color="auto"/>
                                    <w:bottom w:val="none" w:sz="0" w:space="0" w:color="auto"/>
                                    <w:right w:val="none" w:sz="0" w:space="0" w:color="auto"/>
                                  </w:divBdr>
                                </w:div>
                                <w:div w:id="708457463">
                                  <w:marLeft w:val="0"/>
                                  <w:marRight w:val="0"/>
                                  <w:marTop w:val="0"/>
                                  <w:marBottom w:val="0"/>
                                  <w:divBdr>
                                    <w:top w:val="none" w:sz="0" w:space="0" w:color="auto"/>
                                    <w:left w:val="none" w:sz="0" w:space="0" w:color="auto"/>
                                    <w:bottom w:val="none" w:sz="0" w:space="0" w:color="auto"/>
                                    <w:right w:val="none" w:sz="0" w:space="0" w:color="auto"/>
                                  </w:divBdr>
                                </w:div>
                                <w:div w:id="608314823">
                                  <w:marLeft w:val="0"/>
                                  <w:marRight w:val="0"/>
                                  <w:marTop w:val="0"/>
                                  <w:marBottom w:val="0"/>
                                  <w:divBdr>
                                    <w:top w:val="none" w:sz="0" w:space="0" w:color="auto"/>
                                    <w:left w:val="none" w:sz="0" w:space="0" w:color="auto"/>
                                    <w:bottom w:val="none" w:sz="0" w:space="0" w:color="auto"/>
                                    <w:right w:val="none" w:sz="0" w:space="0" w:color="auto"/>
                                  </w:divBdr>
                                </w:div>
                                <w:div w:id="1442799906">
                                  <w:marLeft w:val="0"/>
                                  <w:marRight w:val="0"/>
                                  <w:marTop w:val="0"/>
                                  <w:marBottom w:val="0"/>
                                  <w:divBdr>
                                    <w:top w:val="none" w:sz="0" w:space="0" w:color="auto"/>
                                    <w:left w:val="none" w:sz="0" w:space="0" w:color="auto"/>
                                    <w:bottom w:val="none" w:sz="0" w:space="0" w:color="auto"/>
                                    <w:right w:val="none" w:sz="0" w:space="0" w:color="auto"/>
                                  </w:divBdr>
                                </w:div>
                                <w:div w:id="124585206">
                                  <w:marLeft w:val="0"/>
                                  <w:marRight w:val="0"/>
                                  <w:marTop w:val="0"/>
                                  <w:marBottom w:val="0"/>
                                  <w:divBdr>
                                    <w:top w:val="none" w:sz="0" w:space="0" w:color="auto"/>
                                    <w:left w:val="none" w:sz="0" w:space="0" w:color="auto"/>
                                    <w:bottom w:val="none" w:sz="0" w:space="0" w:color="auto"/>
                                    <w:right w:val="none" w:sz="0" w:space="0" w:color="auto"/>
                                  </w:divBdr>
                                </w:div>
                                <w:div w:id="1530948600">
                                  <w:marLeft w:val="0"/>
                                  <w:marRight w:val="0"/>
                                  <w:marTop w:val="0"/>
                                  <w:marBottom w:val="0"/>
                                  <w:divBdr>
                                    <w:top w:val="none" w:sz="0" w:space="0" w:color="auto"/>
                                    <w:left w:val="none" w:sz="0" w:space="0" w:color="auto"/>
                                    <w:bottom w:val="none" w:sz="0" w:space="0" w:color="auto"/>
                                    <w:right w:val="none" w:sz="0" w:space="0" w:color="auto"/>
                                  </w:divBdr>
                                </w:div>
                                <w:div w:id="971637031">
                                  <w:marLeft w:val="0"/>
                                  <w:marRight w:val="0"/>
                                  <w:marTop w:val="0"/>
                                  <w:marBottom w:val="0"/>
                                  <w:divBdr>
                                    <w:top w:val="none" w:sz="0" w:space="0" w:color="auto"/>
                                    <w:left w:val="none" w:sz="0" w:space="0" w:color="auto"/>
                                    <w:bottom w:val="none" w:sz="0" w:space="0" w:color="auto"/>
                                    <w:right w:val="none" w:sz="0" w:space="0" w:color="auto"/>
                                  </w:divBdr>
                                </w:div>
                                <w:div w:id="748691950">
                                  <w:marLeft w:val="0"/>
                                  <w:marRight w:val="0"/>
                                  <w:marTop w:val="0"/>
                                  <w:marBottom w:val="0"/>
                                  <w:divBdr>
                                    <w:top w:val="none" w:sz="0" w:space="0" w:color="auto"/>
                                    <w:left w:val="none" w:sz="0" w:space="0" w:color="auto"/>
                                    <w:bottom w:val="none" w:sz="0" w:space="0" w:color="auto"/>
                                    <w:right w:val="none" w:sz="0" w:space="0" w:color="auto"/>
                                  </w:divBdr>
                                </w:div>
                                <w:div w:id="9571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sters.esma.europa.eu/publication/searchRegister?core=esma_registers_fird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sma.europa.eu/sites/default/files/library/esma70-872942901-35_qas_transparency_issues.pdf" TargetMode="External"/><Relationship Id="rId4" Type="http://schemas.microsoft.com/office/2007/relationships/stylesWithEffects" Target="stylesWithEffects.xml"/><Relationship Id="rId9" Type="http://schemas.openxmlformats.org/officeDocument/2006/relationships/hyperlink" Target="https://www.esma.europa.eu/document/guidelines-transaction-reporting-order-record-keeping-and-clock-synchronisation-under-mif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1FE1-F9EF-4BC3-81C0-2083010E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2780</Words>
  <Characters>18790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ELEKTRONISKAIS dokuments sarakste</vt:lpstr>
    </vt:vector>
  </TitlesOfParts>
  <Manager>Finanšu un kapitāla tirgus komisija</Manager>
  <Company>Finanšu un kapitāla tirgus komisija</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ELEKTRONISKAIS dokuments sarakste</dc:title>
  <dc:subject>Arejas sarakstes vestules sagatave, latviski</dc:subject>
  <dc:creator>Vadim Kolomiets</dc:creator>
  <cp:lastModifiedBy>Aleksandrs Skraucis</cp:lastModifiedBy>
  <cp:revision>3</cp:revision>
  <cp:lastPrinted>2017-10-30T12:04:00Z</cp:lastPrinted>
  <dcterms:created xsi:type="dcterms:W3CDTF">2017-11-10T08:31:00Z</dcterms:created>
  <dcterms:modified xsi:type="dcterms:W3CDTF">2017-11-10T08:33:00Z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